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165A3">
      <w:pPr>
        <w:tabs>
          <w:tab w:val="left" w:pos="567"/>
          <w:tab w:val="left" w:pos="3686"/>
        </w:tabs>
      </w:pPr>
      <w:r>
        <w:tab/>
        <w:t>19 сентября 2018 г.</w:t>
      </w:r>
      <w:r>
        <w:tab/>
        <w:t>01-2066-а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4C37EF" w:rsidRPr="0075452B" w:rsidTr="007545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EF" w:rsidRPr="0075452B" w:rsidRDefault="004C37EF" w:rsidP="004C37EF">
            <w:pPr>
              <w:rPr>
                <w:color w:val="000000"/>
                <w:sz w:val="24"/>
              </w:rPr>
            </w:pPr>
            <w:r w:rsidRPr="0075452B">
              <w:rPr>
                <w:color w:val="000000"/>
                <w:sz w:val="24"/>
              </w:rPr>
              <w:t>Об утверждении унифицированного архитектурного решения нестационарных торговых объектов (киосков и павильонов) на территории Тихвинского городского поселения</w:t>
            </w:r>
          </w:p>
        </w:tc>
      </w:tr>
      <w:tr w:rsidR="004C37EF" w:rsidRPr="0075452B" w:rsidTr="007545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EF" w:rsidRPr="0075452B" w:rsidRDefault="006165A3" w:rsidP="004C37E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0100 ОБ НПА</w:t>
            </w:r>
            <w:bookmarkStart w:id="0" w:name="_GoBack"/>
            <w:bookmarkEnd w:id="0"/>
          </w:p>
        </w:tc>
      </w:tr>
    </w:tbl>
    <w:p w:rsidR="004C37EF" w:rsidRPr="004F64C7" w:rsidRDefault="004C37EF" w:rsidP="004C37EF">
      <w:pPr>
        <w:ind w:firstLine="720"/>
      </w:pPr>
      <w:r>
        <w:rPr>
          <w:color w:val="000000"/>
        </w:rPr>
        <w:t xml:space="preserve">На основании пункта 6.1.2 </w:t>
      </w:r>
      <w:r w:rsidRPr="0072750F">
        <w:rPr>
          <w:color w:val="000000"/>
        </w:rPr>
        <w:t>Положения о порядке предоставления права на размещение нестационарных торговых объектов на территории Тихвинского городского поселения</w:t>
      </w:r>
      <w:r>
        <w:rPr>
          <w:color w:val="000000"/>
        </w:rPr>
        <w:t>, утвержденного постановлением администрации Тихвинского района от 18 мая 2017 года №01-1266-а (в редакции от 25 июля 2018 года №01-1733-а), с учетом положений Федерального закона от 6 октября 2003 года №131-ФЗ «Об общих принципах организации местного самоуправления в Российской Федерации»; в соответствии со статьей 30 Устава Тихвинского городского поселения; приказом комитета по развитию малого, среднего бизнеса и потребительского рынка Ленинградской области от 18 августа 2016 года №22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:rsidR="004C37EF" w:rsidRDefault="004C37EF" w:rsidP="004C37EF">
      <w:pPr>
        <w:ind w:firstLine="720"/>
        <w:rPr>
          <w:color w:val="000000"/>
        </w:rPr>
      </w:pPr>
      <w:r>
        <w:t xml:space="preserve">1. </w:t>
      </w:r>
      <w:r w:rsidRPr="004F64C7">
        <w:t>Утвердить унифицированное архитектурное решение нестационарных торговых объектов (киосков и павильонов) на территории Тихвинского городского поселения (приложение</w:t>
      </w:r>
      <w:r>
        <w:rPr>
          <w:color w:val="000000"/>
        </w:rPr>
        <w:t xml:space="preserve"> №1).</w:t>
      </w:r>
    </w:p>
    <w:p w:rsidR="004C37EF" w:rsidRPr="004F64C7" w:rsidRDefault="004C37EF" w:rsidP="004C37EF">
      <w:pPr>
        <w:ind w:firstLine="720"/>
        <w:rPr>
          <w:color w:val="000000"/>
        </w:rPr>
      </w:pPr>
      <w:r>
        <w:rPr>
          <w:color w:val="000000"/>
        </w:rPr>
        <w:t>2. Утвердить основные требования к цветовой гамме декоративных ограждающих поверхностей нестационарных торговых объектов, техническим показателям и изготовлению нестационарных торговых объектов, исполняемых в унифицированном архитектурном решении (приложение №2).</w:t>
      </w:r>
    </w:p>
    <w:p w:rsidR="004C37EF" w:rsidRDefault="004C37EF" w:rsidP="004C37EF">
      <w:pPr>
        <w:ind w:firstLine="720"/>
        <w:rPr>
          <w:color w:val="000000"/>
        </w:rPr>
      </w:pPr>
      <w:r>
        <w:rPr>
          <w:color w:val="000000"/>
        </w:rPr>
        <w:t>3. Обнародовать настоящее постановление в сети Интернет на официальном сайте Тихвинского района: www.tikhvin.org.</w:t>
      </w:r>
    </w:p>
    <w:p w:rsidR="004C37EF" w:rsidRDefault="004C37EF" w:rsidP="004C37EF">
      <w:pPr>
        <w:ind w:firstLine="720"/>
        <w:rPr>
          <w:color w:val="000000"/>
        </w:rPr>
      </w:pPr>
      <w:r>
        <w:rPr>
          <w:color w:val="000000"/>
        </w:rPr>
        <w:t>4. Настоящее постановление вступает в силу с момента обнародования.</w:t>
      </w:r>
    </w:p>
    <w:p w:rsidR="004C37EF" w:rsidRDefault="004C37EF" w:rsidP="004C37EF">
      <w:pPr>
        <w:ind w:firstLine="720"/>
        <w:rPr>
          <w:color w:val="000000"/>
        </w:rPr>
      </w:pPr>
      <w:r>
        <w:rPr>
          <w:color w:val="000000"/>
        </w:rPr>
        <w:t>5. Контроль за исполнением постановления возложить на заместителя главы администрации по экономике и инвестициям.</w:t>
      </w:r>
    </w:p>
    <w:p w:rsidR="004C37EF" w:rsidRDefault="004C37EF" w:rsidP="006F504E">
      <w:pPr>
        <w:ind w:firstLine="225"/>
        <w:rPr>
          <w:color w:val="000000"/>
        </w:rPr>
      </w:pPr>
    </w:p>
    <w:p w:rsidR="004C37EF" w:rsidRDefault="004C37EF" w:rsidP="006F504E">
      <w:pPr>
        <w:ind w:firstLine="225"/>
        <w:rPr>
          <w:color w:val="000000"/>
        </w:rPr>
      </w:pPr>
    </w:p>
    <w:p w:rsidR="004C37EF" w:rsidRPr="006C29D2" w:rsidRDefault="004C37EF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4C37EF" w:rsidRDefault="004C37EF" w:rsidP="006F504E">
      <w:pPr>
        <w:ind w:firstLine="225"/>
        <w:rPr>
          <w:color w:val="000000"/>
        </w:rPr>
      </w:pP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b/>
          <w:bCs/>
          <w:i/>
          <w:iCs/>
          <w:color w:val="000000"/>
          <w:sz w:val="18"/>
        </w:rPr>
        <w:lastRenderedPageBreak/>
        <w:t>Согласовано:</w:t>
      </w:r>
    </w:p>
    <w:p w:rsidR="004C37EF" w:rsidRP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Зам. главы администрации по экономике и инвестициям                                </w:t>
      </w:r>
      <w:r>
        <w:rPr>
          <w:i/>
          <w:iCs/>
          <w:color w:val="000000"/>
          <w:sz w:val="18"/>
        </w:rPr>
        <w:tab/>
      </w:r>
      <w:r w:rsidRPr="004C37EF">
        <w:rPr>
          <w:i/>
          <w:iCs/>
          <w:color w:val="000000"/>
          <w:sz w:val="18"/>
        </w:rPr>
        <w:t>Пчелин А.Е.</w:t>
      </w:r>
    </w:p>
    <w:p w:rsidR="004C37EF" w:rsidRP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Зав. юридическим отделом                                                                                    </w:t>
      </w:r>
      <w:r>
        <w:rPr>
          <w:i/>
          <w:iCs/>
          <w:color w:val="000000"/>
          <w:sz w:val="18"/>
        </w:rPr>
        <w:tab/>
      </w:r>
      <w:r w:rsidRPr="004C37EF">
        <w:rPr>
          <w:i/>
          <w:iCs/>
          <w:color w:val="000000"/>
          <w:sz w:val="18"/>
        </w:rPr>
        <w:t>Максимов В.В.</w:t>
      </w:r>
    </w:p>
    <w:p w:rsidR="004C37EF" w:rsidRP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Зав. отделом архитектуры                                                                         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4C37EF">
        <w:rPr>
          <w:i/>
          <w:iCs/>
          <w:color w:val="000000"/>
          <w:sz w:val="18"/>
        </w:rPr>
        <w:t>Катышевский Ю.В.</w:t>
      </w:r>
    </w:p>
    <w:p w:rsid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Зав. отделом по развитию малого, среднего </w:t>
      </w:r>
    </w:p>
    <w:p w:rsidR="004C37EF" w:rsidRP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бизнеса и потребительского рынка                                                            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4C37EF">
        <w:rPr>
          <w:i/>
          <w:iCs/>
          <w:color w:val="000000"/>
          <w:sz w:val="18"/>
        </w:rPr>
        <w:t>Курганова М.Н.</w:t>
      </w:r>
    </w:p>
    <w:p w:rsidR="004C37EF" w:rsidRPr="004C37EF" w:rsidRDefault="004C37EF" w:rsidP="004C37EF">
      <w:pPr>
        <w:rPr>
          <w:i/>
          <w:iCs/>
          <w:color w:val="000000"/>
          <w:sz w:val="18"/>
        </w:rPr>
      </w:pPr>
      <w:r w:rsidRPr="004C37EF">
        <w:rPr>
          <w:i/>
          <w:iCs/>
          <w:color w:val="000000"/>
          <w:sz w:val="18"/>
        </w:rPr>
        <w:t xml:space="preserve">Зав. общим отделом                                                                                                     </w:t>
      </w:r>
      <w:r>
        <w:rPr>
          <w:i/>
          <w:iCs/>
          <w:color w:val="000000"/>
          <w:sz w:val="18"/>
        </w:rPr>
        <w:tab/>
      </w:r>
      <w:r w:rsidRPr="004C37EF">
        <w:rPr>
          <w:i/>
          <w:iCs/>
          <w:color w:val="000000"/>
          <w:sz w:val="18"/>
        </w:rPr>
        <w:t>Савранская И.Г.</w:t>
      </w:r>
    </w:p>
    <w:p w:rsidR="004C37EF" w:rsidRDefault="004C37EF" w:rsidP="004C37EF">
      <w:pPr>
        <w:rPr>
          <w:i/>
          <w:iCs/>
          <w:color w:val="000000"/>
          <w:sz w:val="18"/>
        </w:rPr>
      </w:pPr>
    </w:p>
    <w:p w:rsidR="004C37EF" w:rsidRDefault="004C37EF" w:rsidP="004C37EF">
      <w:pPr>
        <w:rPr>
          <w:i/>
          <w:iCs/>
          <w:color w:val="000000"/>
          <w:sz w:val="18"/>
        </w:rPr>
      </w:pP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Рассылка:</w:t>
      </w:r>
      <w:r w:rsidRPr="004C37EF">
        <w:rPr>
          <w:color w:val="000000"/>
          <w:sz w:val="18"/>
        </w:rPr>
        <w:t xml:space="preserve"> </w:t>
      </w: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Дело - 1</w:t>
      </w:r>
      <w:r w:rsidRPr="004C37EF">
        <w:rPr>
          <w:color w:val="000000"/>
          <w:sz w:val="18"/>
        </w:rPr>
        <w:t xml:space="preserve"> </w:t>
      </w: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Отдел по развитию малого, среднего бизнеса и потребительского рынка - 2</w:t>
      </w: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КУМИ - 2</w:t>
      </w: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Отдел архитектуры - 1</w:t>
      </w:r>
      <w:r w:rsidRPr="004C37EF">
        <w:rPr>
          <w:color w:val="000000"/>
          <w:sz w:val="18"/>
        </w:rPr>
        <w:t xml:space="preserve"> </w:t>
      </w:r>
    </w:p>
    <w:p w:rsidR="004C37EF" w:rsidRPr="004C37EF" w:rsidRDefault="004C37EF" w:rsidP="004C37EF">
      <w:pPr>
        <w:rPr>
          <w:color w:val="000000"/>
          <w:sz w:val="18"/>
        </w:rPr>
      </w:pPr>
      <w:r w:rsidRPr="004C37EF">
        <w:rPr>
          <w:i/>
          <w:iCs/>
          <w:color w:val="000000"/>
          <w:sz w:val="18"/>
        </w:rPr>
        <w:t>Итого - 6 экз.</w:t>
      </w: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Default="004C37EF">
      <w:pPr>
        <w:rPr>
          <w:sz w:val="18"/>
        </w:rPr>
      </w:pPr>
    </w:p>
    <w:p w:rsidR="004C37EF" w:rsidRPr="004C37EF" w:rsidRDefault="004C37EF">
      <w:pPr>
        <w:rPr>
          <w:sz w:val="18"/>
        </w:rPr>
      </w:pPr>
    </w:p>
    <w:p w:rsidR="004C37EF" w:rsidRDefault="004C37EF" w:rsidP="004C37EF">
      <w:pPr>
        <w:rPr>
          <w:color w:val="000000"/>
          <w:sz w:val="24"/>
        </w:rPr>
      </w:pPr>
      <w:r w:rsidRPr="004C37EF">
        <w:rPr>
          <w:color w:val="000000"/>
          <w:sz w:val="24"/>
        </w:rPr>
        <w:t>Катышевский</w:t>
      </w:r>
      <w:r>
        <w:rPr>
          <w:color w:val="000000"/>
          <w:sz w:val="24"/>
        </w:rPr>
        <w:t xml:space="preserve"> Юрий Владимирович</w:t>
      </w:r>
      <w:r w:rsidRPr="004C37EF">
        <w:rPr>
          <w:color w:val="000000"/>
          <w:sz w:val="24"/>
        </w:rPr>
        <w:t xml:space="preserve">, </w:t>
      </w:r>
    </w:p>
    <w:p w:rsidR="004C37EF" w:rsidRPr="004C37EF" w:rsidRDefault="004C37EF" w:rsidP="004C37EF">
      <w:pPr>
        <w:rPr>
          <w:color w:val="000000"/>
          <w:sz w:val="24"/>
        </w:rPr>
      </w:pPr>
      <w:r w:rsidRPr="004C37EF">
        <w:rPr>
          <w:color w:val="000000"/>
          <w:sz w:val="24"/>
        </w:rPr>
        <w:t>73-498</w:t>
      </w:r>
    </w:p>
    <w:p w:rsidR="004C37EF" w:rsidRDefault="004C37EF" w:rsidP="001A2440">
      <w:pPr>
        <w:ind w:right="-1" w:firstLine="709"/>
        <w:rPr>
          <w:sz w:val="14"/>
          <w:szCs w:val="22"/>
        </w:rPr>
        <w:sectPr w:rsidR="004C37EF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A820C7" w:rsidRPr="006165A3" w:rsidRDefault="00A820C7" w:rsidP="00A820C7">
      <w:pPr>
        <w:pStyle w:val="ConsPlusNormal"/>
        <w:ind w:left="10800"/>
        <w:outlineLvl w:val="0"/>
        <w:rPr>
          <w:sz w:val="22"/>
        </w:rPr>
      </w:pPr>
      <w:r w:rsidRPr="006165A3">
        <w:rPr>
          <w:sz w:val="22"/>
        </w:rPr>
        <w:lastRenderedPageBreak/>
        <w:t>УТВЕРЖДЕНО</w:t>
      </w:r>
    </w:p>
    <w:p w:rsidR="00A820C7" w:rsidRPr="006165A3" w:rsidRDefault="00A820C7" w:rsidP="00A820C7">
      <w:pPr>
        <w:pStyle w:val="ConsPlusNormal"/>
        <w:ind w:left="10800"/>
        <w:rPr>
          <w:sz w:val="22"/>
        </w:rPr>
      </w:pPr>
      <w:r w:rsidRPr="006165A3">
        <w:rPr>
          <w:sz w:val="22"/>
        </w:rPr>
        <w:t>постановлением администрации</w:t>
      </w:r>
    </w:p>
    <w:p w:rsidR="00A820C7" w:rsidRPr="006165A3" w:rsidRDefault="00A820C7" w:rsidP="00A820C7">
      <w:pPr>
        <w:pStyle w:val="ConsPlusNormal"/>
        <w:ind w:left="10800"/>
        <w:rPr>
          <w:sz w:val="22"/>
        </w:rPr>
      </w:pPr>
      <w:r w:rsidRPr="006165A3">
        <w:rPr>
          <w:sz w:val="22"/>
        </w:rPr>
        <w:t>Тихвинского района</w:t>
      </w:r>
    </w:p>
    <w:p w:rsidR="00A820C7" w:rsidRPr="006165A3" w:rsidRDefault="00A820C7" w:rsidP="00A820C7">
      <w:pPr>
        <w:pStyle w:val="ConsPlusNormal"/>
        <w:ind w:left="10800"/>
        <w:rPr>
          <w:sz w:val="22"/>
        </w:rPr>
      </w:pPr>
      <w:r w:rsidRPr="006165A3">
        <w:rPr>
          <w:sz w:val="22"/>
        </w:rPr>
        <w:t xml:space="preserve">от </w:t>
      </w:r>
      <w:r w:rsidR="006165A3">
        <w:rPr>
          <w:sz w:val="22"/>
        </w:rPr>
        <w:t xml:space="preserve">19 </w:t>
      </w:r>
      <w:r w:rsidRPr="006165A3">
        <w:rPr>
          <w:sz w:val="22"/>
        </w:rPr>
        <w:t>сентября 2018г. №01-</w:t>
      </w:r>
      <w:r w:rsidR="006165A3">
        <w:rPr>
          <w:sz w:val="22"/>
        </w:rPr>
        <w:t>2066</w:t>
      </w:r>
      <w:r w:rsidRPr="006165A3">
        <w:rPr>
          <w:sz w:val="22"/>
        </w:rPr>
        <w:t>-а</w:t>
      </w:r>
    </w:p>
    <w:p w:rsidR="00A820C7" w:rsidRPr="006165A3" w:rsidRDefault="00A820C7" w:rsidP="00A820C7">
      <w:pPr>
        <w:pStyle w:val="ConsPlusNormal"/>
        <w:ind w:left="10800"/>
        <w:rPr>
          <w:sz w:val="22"/>
        </w:rPr>
      </w:pPr>
      <w:r w:rsidRPr="006165A3">
        <w:rPr>
          <w:sz w:val="22"/>
        </w:rPr>
        <w:t>(приложение №1)</w:t>
      </w:r>
    </w:p>
    <w:p w:rsidR="00A820C7" w:rsidRPr="006165A3" w:rsidRDefault="00A820C7" w:rsidP="001A2440">
      <w:pPr>
        <w:ind w:right="-1" w:firstLine="709"/>
      </w:pPr>
    </w:p>
    <w:p w:rsidR="00A820C7" w:rsidRPr="00A820C7" w:rsidRDefault="00A820C7" w:rsidP="00A820C7">
      <w:pPr>
        <w:ind w:right="-1" w:firstLine="709"/>
        <w:jc w:val="center"/>
        <w:rPr>
          <w:b/>
          <w:sz w:val="22"/>
        </w:rPr>
      </w:pPr>
      <w:r w:rsidRPr="00A820C7">
        <w:rPr>
          <w:b/>
          <w:sz w:val="22"/>
        </w:rPr>
        <w:t xml:space="preserve">Унифицированное архитектурное решение нестационарных торговых объектов </w:t>
      </w:r>
    </w:p>
    <w:p w:rsidR="00DD3541" w:rsidRDefault="00A820C7" w:rsidP="00A820C7">
      <w:pPr>
        <w:ind w:right="-1" w:firstLine="709"/>
        <w:jc w:val="center"/>
        <w:rPr>
          <w:b/>
          <w:sz w:val="22"/>
        </w:rPr>
      </w:pPr>
      <w:r w:rsidRPr="00A820C7">
        <w:rPr>
          <w:b/>
          <w:sz w:val="22"/>
        </w:rPr>
        <w:t>(киосков и павильонов) на территории Тихвинского городского поселения</w:t>
      </w:r>
    </w:p>
    <w:p w:rsidR="00A820C7" w:rsidRDefault="006165A3" w:rsidP="00A820C7">
      <w:pPr>
        <w:ind w:right="-1" w:firstLine="709"/>
        <w:jc w:val="center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35pt;margin-top:115.15pt;width:613.35pt;height:383pt;z-index:1;mso-wrap-distance-left:0;mso-wrap-distance-top:0;mso-wrap-distance-right:0;mso-wrap-distance-bottom:0;mso-position-horizontal-relative:margin;mso-position-vertical-relative:margin" o:allowincell="f">
            <v:imagedata r:id="rId5" o:title=""/>
            <w10:wrap type="square" anchorx="margin" anchory="margin"/>
          </v:shape>
        </w:pict>
      </w: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</w:pPr>
    </w:p>
    <w:p w:rsidR="00A820C7" w:rsidRDefault="00A820C7" w:rsidP="00A820C7">
      <w:pPr>
        <w:ind w:right="-1" w:firstLine="709"/>
        <w:jc w:val="center"/>
        <w:rPr>
          <w:b/>
          <w:sz w:val="22"/>
        </w:rPr>
        <w:sectPr w:rsidR="00A820C7" w:rsidSect="00A820C7">
          <w:pgSz w:w="16840" w:h="11907" w:orient="landscape"/>
          <w:pgMar w:top="1135" w:right="851" w:bottom="1134" w:left="992" w:header="720" w:footer="720" w:gutter="0"/>
          <w:cols w:space="720"/>
        </w:sectPr>
      </w:pPr>
    </w:p>
    <w:p w:rsidR="00A820C7" w:rsidRPr="006165A3" w:rsidRDefault="00A820C7" w:rsidP="00B31BEE">
      <w:pPr>
        <w:pStyle w:val="ConsPlusNormal"/>
        <w:ind w:left="5040"/>
        <w:outlineLvl w:val="0"/>
      </w:pPr>
      <w:r w:rsidRPr="006165A3">
        <w:lastRenderedPageBreak/>
        <w:t>УТВЕРЖДЕН</w:t>
      </w:r>
      <w:r w:rsidR="006165A3">
        <w:t>Ы</w:t>
      </w:r>
    </w:p>
    <w:p w:rsidR="00A820C7" w:rsidRPr="006165A3" w:rsidRDefault="00A820C7" w:rsidP="00B31BEE">
      <w:pPr>
        <w:pStyle w:val="ConsPlusNormal"/>
        <w:ind w:left="5040"/>
      </w:pPr>
      <w:r w:rsidRPr="006165A3">
        <w:t>постановлением администрации</w:t>
      </w:r>
    </w:p>
    <w:p w:rsidR="00A820C7" w:rsidRPr="006165A3" w:rsidRDefault="00A820C7" w:rsidP="00B31BEE">
      <w:pPr>
        <w:pStyle w:val="ConsPlusNormal"/>
        <w:ind w:left="5040"/>
      </w:pPr>
      <w:r w:rsidRPr="006165A3">
        <w:t>Тихвинского района</w:t>
      </w:r>
    </w:p>
    <w:p w:rsidR="00A820C7" w:rsidRPr="006165A3" w:rsidRDefault="00A820C7" w:rsidP="00B31BEE">
      <w:pPr>
        <w:pStyle w:val="ConsPlusNormal"/>
        <w:ind w:left="5040"/>
      </w:pPr>
      <w:r w:rsidRPr="006165A3">
        <w:t xml:space="preserve">от </w:t>
      </w:r>
      <w:r w:rsidR="006165A3">
        <w:t xml:space="preserve">19 </w:t>
      </w:r>
      <w:r w:rsidRPr="006165A3">
        <w:t>сентября 2018г. №01-</w:t>
      </w:r>
      <w:r w:rsidR="006165A3">
        <w:t>2066</w:t>
      </w:r>
      <w:r w:rsidRPr="006165A3">
        <w:t>-а</w:t>
      </w:r>
    </w:p>
    <w:p w:rsidR="00A820C7" w:rsidRPr="006165A3" w:rsidRDefault="00A820C7" w:rsidP="00B31BEE">
      <w:pPr>
        <w:pStyle w:val="ConsPlusNormal"/>
        <w:ind w:left="5040"/>
      </w:pPr>
      <w:r w:rsidRPr="006165A3">
        <w:t>(приложение №2)</w:t>
      </w:r>
    </w:p>
    <w:p w:rsidR="00A820C7" w:rsidRPr="006165A3" w:rsidRDefault="00A820C7" w:rsidP="00B31BEE">
      <w:pPr>
        <w:ind w:firstLine="709"/>
        <w:rPr>
          <w:b/>
          <w:sz w:val="22"/>
        </w:rPr>
      </w:pPr>
    </w:p>
    <w:p w:rsidR="00A820C7" w:rsidRPr="006165A3" w:rsidRDefault="00A820C7" w:rsidP="00B31BEE">
      <w:pPr>
        <w:ind w:firstLine="709"/>
        <w:rPr>
          <w:b/>
          <w:sz w:val="22"/>
        </w:rPr>
      </w:pPr>
    </w:p>
    <w:p w:rsidR="0075452B" w:rsidRPr="006165A3" w:rsidRDefault="0075452B" w:rsidP="00B31BEE">
      <w:pPr>
        <w:pStyle w:val="23"/>
        <w:shd w:val="clear" w:color="auto" w:fill="auto"/>
        <w:spacing w:before="0" w:after="0" w:line="240" w:lineRule="auto"/>
      </w:pPr>
    </w:p>
    <w:p w:rsidR="00B31BEE" w:rsidRDefault="00B31BEE" w:rsidP="00B31BEE">
      <w:pPr>
        <w:pStyle w:val="23"/>
        <w:shd w:val="clear" w:color="auto" w:fill="auto"/>
        <w:spacing w:before="0" w:after="0" w:line="240" w:lineRule="auto"/>
      </w:pPr>
      <w:r>
        <w:t xml:space="preserve">Основные Требования к цветовой гамме декоративных ограждающих поверхностей </w:t>
      </w:r>
    </w:p>
    <w:p w:rsidR="00B31BEE" w:rsidRDefault="00B31BEE" w:rsidP="00B31BEE">
      <w:pPr>
        <w:pStyle w:val="23"/>
        <w:shd w:val="clear" w:color="auto" w:fill="auto"/>
        <w:spacing w:before="0" w:after="0" w:line="240" w:lineRule="auto"/>
      </w:pPr>
      <w:r>
        <w:t>нестационарных торговых объектов, техническим показателям и изготовлению нестационарных торговых объектов, исполняемых в унифицированном архитектурном решении</w:t>
      </w:r>
    </w:p>
    <w:p w:rsidR="00B31BEE" w:rsidRDefault="00B31BEE" w:rsidP="00B31BEE">
      <w:pPr>
        <w:pStyle w:val="23"/>
        <w:shd w:val="clear" w:color="auto" w:fill="auto"/>
        <w:spacing w:before="0" w:after="0" w:line="240" w:lineRule="auto"/>
        <w:rPr>
          <w:sz w:val="24"/>
        </w:rPr>
      </w:pP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1028"/>
        </w:tabs>
        <w:ind w:firstLine="680"/>
      </w:pPr>
      <w:r>
        <w:t>Металлический каркас выполняется из сборных несущих металлических (стальных) конструкций заводского изготовления.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959"/>
        </w:tabs>
        <w:ind w:firstLine="680"/>
      </w:pPr>
      <w:r>
        <w:t>Стеновой заполнитель (сэндвич-панели, толщиной не менее 50 мм).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970"/>
        </w:tabs>
        <w:ind w:firstLine="680"/>
      </w:pPr>
      <w:r>
        <w:t>Облицовка стеновых панелей: алюминиевые композитные панели (толщина не менее 3 мм) с окраской высококачественными эмалями.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1090"/>
        </w:tabs>
        <w:ind w:firstLine="680"/>
      </w:pPr>
      <w:r>
        <w:t>Витринное остекление: ПВХ-профиль с заполнением стеклопакетами остекленные поверхности оснащаются рольставнями.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1057"/>
        </w:tabs>
        <w:ind w:firstLine="680"/>
      </w:pPr>
      <w:r>
        <w:t>Козырек - металлический каркас (окраска высококачественными эмалями) с покрытием из сотового поликарбоната или ударопрочного тонированного стекла (толщина не менее 8 мм).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985"/>
        </w:tabs>
        <w:ind w:firstLine="680"/>
      </w:pPr>
      <w:r>
        <w:t>Все применяемые материалы должны быть сертифицированы (в том числе по пожаробезопасности).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1129"/>
        </w:tabs>
        <w:ind w:firstLine="680"/>
      </w:pPr>
      <w:r>
        <w:t>В целях обеспечения техники безопасности требуется оснащение конструкций объектов современным наружным осветительным оборудованием.</w:t>
      </w:r>
    </w:p>
    <w:p w:rsidR="00B31BEE" w:rsidRDefault="00B31BEE" w:rsidP="00B31BEE">
      <w:pPr>
        <w:pStyle w:val="a5"/>
        <w:numPr>
          <w:ilvl w:val="0"/>
          <w:numId w:val="2"/>
        </w:numPr>
        <w:tabs>
          <w:tab w:val="left" w:pos="1038"/>
        </w:tabs>
        <w:ind w:firstLine="680"/>
      </w:pPr>
      <w:r>
        <w:t xml:space="preserve">На все нестационарные торговые объекты применять единые цвета по каталогу </w:t>
      </w:r>
      <w:r>
        <w:rPr>
          <w:lang w:val="en-US" w:eastAsia="en-US"/>
        </w:rPr>
        <w:t>RAL</w:t>
      </w:r>
      <w:r w:rsidRPr="00B31BEE">
        <w:rPr>
          <w:lang w:eastAsia="en-US"/>
        </w:rPr>
        <w:t xml:space="preserve">: </w:t>
      </w:r>
      <w:r>
        <w:rPr>
          <w:lang w:val="en-US" w:eastAsia="en-US"/>
        </w:rPr>
        <w:t>RAL</w:t>
      </w:r>
      <w:r w:rsidRPr="00B31BEE">
        <w:rPr>
          <w:lang w:eastAsia="en-US"/>
        </w:rPr>
        <w:t xml:space="preserve"> </w:t>
      </w:r>
      <w:r>
        <w:t xml:space="preserve">1014; </w:t>
      </w:r>
      <w:r>
        <w:rPr>
          <w:lang w:val="en-US" w:eastAsia="en-US"/>
        </w:rPr>
        <w:t>RAL</w:t>
      </w:r>
      <w:r w:rsidRPr="00B31BEE">
        <w:rPr>
          <w:lang w:eastAsia="en-US"/>
        </w:rPr>
        <w:t xml:space="preserve"> </w:t>
      </w:r>
      <w:r>
        <w:t xml:space="preserve">8024; </w:t>
      </w:r>
      <w:r>
        <w:rPr>
          <w:lang w:val="en-US" w:eastAsia="en-US"/>
        </w:rPr>
        <w:t>RAL</w:t>
      </w:r>
      <w:r w:rsidRPr="00B31BEE">
        <w:rPr>
          <w:lang w:eastAsia="en-US"/>
        </w:rPr>
        <w:t xml:space="preserve"> </w:t>
      </w:r>
      <w:r>
        <w:t xml:space="preserve">8017 в соответствии с Приложением </w:t>
      </w:r>
      <w:r w:rsidR="00E2007D">
        <w:t>№</w:t>
      </w:r>
      <w:r>
        <w:t>1.</w:t>
      </w:r>
    </w:p>
    <w:p w:rsidR="00B31BEE" w:rsidRDefault="00B31BEE" w:rsidP="00B31BEE">
      <w:pPr>
        <w:pStyle w:val="a5"/>
        <w:tabs>
          <w:tab w:val="left" w:pos="1038"/>
        </w:tabs>
      </w:pPr>
    </w:p>
    <w:p w:rsidR="00B31BEE" w:rsidRDefault="00B31BEE" w:rsidP="00B31BEE">
      <w:pPr>
        <w:pStyle w:val="a5"/>
        <w:tabs>
          <w:tab w:val="left" w:pos="1038"/>
        </w:tabs>
        <w:jc w:val="center"/>
      </w:pPr>
      <w:r>
        <w:t>_____________</w:t>
      </w:r>
    </w:p>
    <w:p w:rsidR="00A820C7" w:rsidRDefault="00A820C7" w:rsidP="00B31BEE">
      <w:pPr>
        <w:ind w:firstLine="709"/>
        <w:jc w:val="center"/>
        <w:rPr>
          <w:b/>
          <w:sz w:val="22"/>
        </w:rPr>
      </w:pPr>
    </w:p>
    <w:sectPr w:rsidR="00A820C7" w:rsidSect="00B31BEE">
      <w:pgSz w:w="11907" w:h="16840"/>
      <w:pgMar w:top="1134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F20D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48F364E3"/>
    <w:multiLevelType w:val="hybridMultilevel"/>
    <w:tmpl w:val="7B76F920"/>
    <w:lvl w:ilvl="0" w:tplc="89142D8A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37EF"/>
    <w:rsid w:val="00511A2B"/>
    <w:rsid w:val="00554BEC"/>
    <w:rsid w:val="00595F6F"/>
    <w:rsid w:val="005C0140"/>
    <w:rsid w:val="006165A3"/>
    <w:rsid w:val="006415B0"/>
    <w:rsid w:val="006463D8"/>
    <w:rsid w:val="00711921"/>
    <w:rsid w:val="0075452B"/>
    <w:rsid w:val="00796BD1"/>
    <w:rsid w:val="008A3858"/>
    <w:rsid w:val="009840BA"/>
    <w:rsid w:val="00A03876"/>
    <w:rsid w:val="00A13C7B"/>
    <w:rsid w:val="00A820C7"/>
    <w:rsid w:val="00AE1A2A"/>
    <w:rsid w:val="00B31BEE"/>
    <w:rsid w:val="00B52D22"/>
    <w:rsid w:val="00B83D8D"/>
    <w:rsid w:val="00B95FEE"/>
    <w:rsid w:val="00BF2B0B"/>
    <w:rsid w:val="00D368DC"/>
    <w:rsid w:val="00D97342"/>
    <w:rsid w:val="00DD3541"/>
    <w:rsid w:val="00E2007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2335E5"/>
  <w15:chartTrackingRefBased/>
  <w15:docId w15:val="{3A329650-41DE-4948-923A-2CD375C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4C37E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A820C7"/>
    <w:pPr>
      <w:widowControl w:val="0"/>
      <w:autoSpaceDE w:val="0"/>
      <w:autoSpaceDN w:val="0"/>
    </w:pPr>
    <w:rPr>
      <w:sz w:val="24"/>
    </w:rPr>
  </w:style>
  <w:style w:type="character" w:customStyle="1" w:styleId="30">
    <w:name w:val="Основной текст (3)_"/>
    <w:link w:val="31"/>
    <w:uiPriority w:val="99"/>
    <w:locked/>
    <w:rsid w:val="00B31BEE"/>
    <w:rPr>
      <w:sz w:val="64"/>
      <w:szCs w:val="64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B31BEE"/>
    <w:pPr>
      <w:shd w:val="clear" w:color="auto" w:fill="FFFFFF"/>
      <w:spacing w:line="240" w:lineRule="atLeast"/>
      <w:jc w:val="left"/>
    </w:pPr>
    <w:rPr>
      <w:sz w:val="64"/>
      <w:szCs w:val="64"/>
    </w:rPr>
  </w:style>
  <w:style w:type="character" w:customStyle="1" w:styleId="22">
    <w:name w:val="Основной текст (2)_"/>
    <w:link w:val="23"/>
    <w:uiPriority w:val="99"/>
    <w:locked/>
    <w:rsid w:val="00B31BEE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31BEE"/>
    <w:pPr>
      <w:shd w:val="clear" w:color="auto" w:fill="FFFFFF"/>
      <w:spacing w:before="1080" w:after="480" w:line="298" w:lineRule="exact"/>
      <w:jc w:val="center"/>
    </w:pPr>
    <w:rPr>
      <w:b/>
      <w:bCs/>
      <w:sz w:val="20"/>
    </w:rPr>
  </w:style>
  <w:style w:type="character" w:customStyle="1" w:styleId="32">
    <w:name w:val="Основной текст (3)"/>
    <w:uiPriority w:val="99"/>
    <w:rsid w:val="00B3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2018-09-19T13:39:00Z</cp:lastPrinted>
  <dcterms:created xsi:type="dcterms:W3CDTF">2018-09-17T13:56:00Z</dcterms:created>
  <dcterms:modified xsi:type="dcterms:W3CDTF">2018-09-19T13:39:00Z</dcterms:modified>
</cp:coreProperties>
</file>