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638E" w14:textId="64E273D3" w:rsidR="00F75DA4" w:rsidRPr="00482190" w:rsidRDefault="00F75DA4" w:rsidP="00695DD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color w:val="000000"/>
          <w:sz w:val="24"/>
          <w:szCs w:val="24"/>
        </w:rPr>
        <w:t>АДМИНИСТРАЦИЯ  МУНИЦИПАЛЬНОГО  ОБРАЗОВАНИЯ</w:t>
      </w:r>
    </w:p>
    <w:p w14:paraId="4696B269" w14:textId="79AEC737" w:rsidR="004B03F2" w:rsidRDefault="000A1DAF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</w:t>
      </w:r>
      <w:r w:rsidR="00F75DA4"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ОЗЕРСКОЕ СЕЛЬСКОЕ ПОСЕЛЕНИЕ </w:t>
      </w:r>
    </w:p>
    <w:p w14:paraId="5DBF362C" w14:textId="0353F2CF" w:rsidR="00F75DA4" w:rsidRPr="00482190" w:rsidRDefault="00F75DA4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МУНИЦИПАЛЬНОГО  РАЙОНА</w:t>
      </w:r>
    </w:p>
    <w:p w14:paraId="0B8E0BEE" w14:textId="77777777" w:rsidR="00F75DA4" w:rsidRPr="00482190" w:rsidRDefault="00F75DA4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636C6A0C" w14:textId="72F53274" w:rsidR="00F75DA4" w:rsidRPr="00482190" w:rsidRDefault="00F75DA4" w:rsidP="00695DD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(АДМИНИСТРАЦИЯ  </w:t>
      </w:r>
      <w:r w:rsidR="000A1D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</w:t>
      </w: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ОЗЕРСКОГО СЕЛЬСКОГО ПОСЕЛЕНИЯ)</w:t>
      </w:r>
    </w:p>
    <w:p w14:paraId="512D3E3A" w14:textId="77777777" w:rsidR="00F75DA4" w:rsidRPr="00482190" w:rsidRDefault="00F75DA4" w:rsidP="00F75D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9182D" w14:textId="46977CD4" w:rsidR="00F75DA4" w:rsidRDefault="00F75DA4" w:rsidP="00F75DA4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</w:t>
      </w: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14:paraId="3C9CB0D9" w14:textId="62395AE2" w:rsidR="00F75DA4" w:rsidRDefault="00F75DA4" w:rsidP="00F75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607913" w14:textId="2244824E" w:rsidR="00F75DA4" w:rsidRPr="006565A6" w:rsidRDefault="006565A6" w:rsidP="00F75D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73137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036A0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B84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>ноября 202</w:t>
      </w:r>
      <w:r w:rsidR="00D824A1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      </w:t>
      </w:r>
      <w:r w:rsidR="006259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4E0B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4D039A" w:rsidRPr="004D03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039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     </w:t>
      </w:r>
      <w:r w:rsidR="004E0B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259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7313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>08-</w:t>
      </w:r>
      <w:r w:rsidR="00D824A1"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  <w:r w:rsidR="004E0B76">
        <w:rPr>
          <w:rFonts w:ascii="Times New Roman" w:hAnsi="Times New Roman" w:cs="Times New Roman"/>
          <w:bCs/>
          <w:color w:val="000000"/>
          <w:sz w:val="24"/>
          <w:szCs w:val="24"/>
        </w:rPr>
        <w:t>5-а</w:t>
      </w:r>
    </w:p>
    <w:p w14:paraId="5A673B38" w14:textId="77777777" w:rsidR="006565A6" w:rsidRDefault="006565A6" w:rsidP="00F75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C06C28" w14:textId="77777777" w:rsidR="004E0B76" w:rsidRDefault="004E0B76" w:rsidP="004E0B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D0461">
        <w:rPr>
          <w:rFonts w:ascii="Times New Roman" w:hAnsi="Times New Roman"/>
          <w:color w:val="000000"/>
          <w:sz w:val="24"/>
          <w:szCs w:val="24"/>
        </w:rPr>
        <w:t xml:space="preserve">О прогнозе социально-экономического развития </w:t>
      </w:r>
    </w:p>
    <w:p w14:paraId="7A01F905" w14:textId="2700D803" w:rsidR="004E0B76" w:rsidRDefault="004E0B76" w:rsidP="004E0B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Пашозерского сельского поселения</w:t>
      </w:r>
      <w:r w:rsidRPr="007D0461">
        <w:rPr>
          <w:rFonts w:ascii="Times New Roman" w:hAnsi="Times New Roman"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7D0461">
        <w:rPr>
          <w:rFonts w:ascii="Times New Roman" w:hAnsi="Times New Roman"/>
          <w:color w:val="000000"/>
          <w:sz w:val="24"/>
          <w:szCs w:val="24"/>
        </w:rPr>
        <w:t xml:space="preserve"> год </w:t>
      </w:r>
    </w:p>
    <w:p w14:paraId="6DDB3E04" w14:textId="38BB2163" w:rsidR="00E036A0" w:rsidRPr="00E036A0" w:rsidRDefault="004E0B76" w:rsidP="004E0B76">
      <w:pPr>
        <w:widowControl/>
        <w:autoSpaceDE/>
        <w:autoSpaceDN/>
        <w:adjustRightInd/>
        <w:ind w:right="5670"/>
        <w:jc w:val="both"/>
        <w:rPr>
          <w:rFonts w:ascii="Times New Roman" w:hAnsi="Times New Roman" w:cs="Times New Roman"/>
          <w:sz w:val="24"/>
          <w:szCs w:val="24"/>
        </w:rPr>
      </w:pPr>
      <w:r w:rsidRPr="007D0461">
        <w:rPr>
          <w:rFonts w:ascii="Times New Roman" w:hAnsi="Times New Roman"/>
          <w:color w:val="000000"/>
          <w:sz w:val="24"/>
          <w:szCs w:val="24"/>
        </w:rPr>
        <w:t>и на плановый период 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7D0461">
        <w:rPr>
          <w:rFonts w:ascii="Times New Roman" w:hAnsi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7D0461">
        <w:rPr>
          <w:rFonts w:ascii="Times New Roman" w:hAnsi="Times New Roman"/>
          <w:color w:val="000000"/>
          <w:sz w:val="24"/>
          <w:szCs w:val="24"/>
        </w:rPr>
        <w:t xml:space="preserve"> годов</w:t>
      </w:r>
    </w:p>
    <w:p w14:paraId="0EE6FF11" w14:textId="77777777" w:rsidR="00E036A0" w:rsidRPr="00E036A0" w:rsidRDefault="00E036A0" w:rsidP="00E036A0">
      <w:pPr>
        <w:widowControl/>
        <w:autoSpaceDE/>
        <w:autoSpaceDN/>
        <w:adjustRightInd/>
        <w:ind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D3D9F6" w14:textId="77777777" w:rsidR="00E036A0" w:rsidRPr="00E036A0" w:rsidRDefault="00E036A0" w:rsidP="00E036A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4990F" w14:textId="71B3B125" w:rsidR="004E0B76" w:rsidRDefault="004E0B76" w:rsidP="004E0B76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51D">
        <w:rPr>
          <w:rFonts w:ascii="Times New Roman" w:hAnsi="Times New Roman"/>
          <w:color w:val="000000"/>
          <w:sz w:val="24"/>
          <w:szCs w:val="24"/>
        </w:rPr>
        <w:t>В соответствии со стать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CF251D">
        <w:rPr>
          <w:rFonts w:ascii="Times New Roman" w:hAnsi="Times New Roman"/>
          <w:color w:val="000000"/>
          <w:sz w:val="24"/>
          <w:szCs w:val="24"/>
        </w:rPr>
        <w:t xml:space="preserve">й 173 Бюджетного кодекса Российской Федерации, </w:t>
      </w:r>
      <w:r w:rsidRPr="00516079">
        <w:rPr>
          <w:rFonts w:ascii="Times New Roman" w:hAnsi="Times New Roman"/>
          <w:color w:val="000000"/>
          <w:sz w:val="24"/>
          <w:szCs w:val="24"/>
        </w:rPr>
        <w:t xml:space="preserve">пунктом 21.3 статьи 21 </w:t>
      </w:r>
      <w:r w:rsidRPr="00CF251D">
        <w:rPr>
          <w:rFonts w:ascii="Times New Roman" w:hAnsi="Times New Roman"/>
          <w:color w:val="000000"/>
          <w:sz w:val="24"/>
          <w:szCs w:val="24"/>
        </w:rPr>
        <w:t xml:space="preserve">Положения о бюджетном процессе в муниципальном образовании </w:t>
      </w:r>
      <w:r>
        <w:rPr>
          <w:rFonts w:ascii="Times New Roman" w:hAnsi="Times New Roman"/>
          <w:color w:val="000000"/>
          <w:sz w:val="24"/>
          <w:szCs w:val="24"/>
        </w:rPr>
        <w:t>Паш</w:t>
      </w:r>
      <w:r w:rsidRPr="00CF251D">
        <w:rPr>
          <w:rFonts w:ascii="Times New Roman" w:hAnsi="Times New Roman"/>
          <w:color w:val="000000"/>
          <w:sz w:val="24"/>
          <w:szCs w:val="24"/>
        </w:rPr>
        <w:t>озерское сельское поселение Тихвинского муниципального района Ленинградской области</w:t>
      </w:r>
      <w:r w:rsidRPr="00516079">
        <w:t xml:space="preserve"> </w:t>
      </w:r>
      <w:r w:rsidRPr="00516079">
        <w:rPr>
          <w:rFonts w:ascii="Times New Roman" w:hAnsi="Times New Roman"/>
          <w:color w:val="000000"/>
          <w:sz w:val="24"/>
          <w:szCs w:val="24"/>
        </w:rPr>
        <w:t xml:space="preserve">утверждённого решением совета депутатов </w:t>
      </w:r>
      <w:r>
        <w:rPr>
          <w:rFonts w:ascii="Times New Roman" w:hAnsi="Times New Roman"/>
          <w:color w:val="000000"/>
          <w:sz w:val="24"/>
          <w:szCs w:val="24"/>
        </w:rPr>
        <w:t>Паш</w:t>
      </w:r>
      <w:r w:rsidRPr="00CF251D">
        <w:rPr>
          <w:rFonts w:ascii="Times New Roman" w:hAnsi="Times New Roman"/>
          <w:color w:val="000000"/>
          <w:sz w:val="24"/>
          <w:szCs w:val="24"/>
        </w:rPr>
        <w:t>озерско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F251D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F25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6079">
        <w:rPr>
          <w:rFonts w:ascii="Times New Roman" w:hAnsi="Times New Roman"/>
          <w:color w:val="000000"/>
          <w:sz w:val="24"/>
          <w:szCs w:val="24"/>
        </w:rPr>
        <w:t>поселения</w:t>
      </w:r>
      <w:r>
        <w:t xml:space="preserve"> от </w:t>
      </w:r>
      <w:r w:rsidRPr="004E0B76">
        <w:rPr>
          <w:rFonts w:ascii="Times New Roman" w:hAnsi="Times New Roman"/>
          <w:color w:val="000000"/>
          <w:sz w:val="24"/>
          <w:szCs w:val="24"/>
        </w:rPr>
        <w:t>22 декабря 2022 года № 08-124</w:t>
      </w:r>
      <w:r w:rsidRPr="00CF251D">
        <w:rPr>
          <w:rFonts w:ascii="Times New Roman" w:hAnsi="Times New Roman"/>
          <w:color w:val="000000"/>
          <w:sz w:val="24"/>
          <w:szCs w:val="24"/>
        </w:rPr>
        <w:t xml:space="preserve">, администрация </w:t>
      </w:r>
      <w:r>
        <w:rPr>
          <w:rFonts w:ascii="Times New Roman" w:hAnsi="Times New Roman"/>
          <w:color w:val="000000"/>
          <w:sz w:val="24"/>
          <w:szCs w:val="24"/>
        </w:rPr>
        <w:t>Паш</w:t>
      </w:r>
      <w:r w:rsidRPr="00CF251D">
        <w:rPr>
          <w:rFonts w:ascii="Times New Roman" w:hAnsi="Times New Roman"/>
          <w:color w:val="000000"/>
          <w:sz w:val="24"/>
          <w:szCs w:val="24"/>
        </w:rPr>
        <w:t xml:space="preserve">озерского сельского поселения </w:t>
      </w:r>
    </w:p>
    <w:p w14:paraId="13F0C36C" w14:textId="77777777" w:rsidR="004E0B76" w:rsidRPr="00CF251D" w:rsidRDefault="004E0B76" w:rsidP="004E0B76">
      <w:pPr>
        <w:spacing w:after="12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251D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14:paraId="1685BA16" w14:textId="2AEF7023" w:rsidR="004E0B76" w:rsidRPr="00CF251D" w:rsidRDefault="004E0B76" w:rsidP="004E0B76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51D">
        <w:rPr>
          <w:rFonts w:ascii="Times New Roman" w:hAnsi="Times New Roman"/>
          <w:color w:val="000000"/>
          <w:sz w:val="24"/>
          <w:szCs w:val="24"/>
        </w:rPr>
        <w:t xml:space="preserve">1. Одобрить прогноз социально-экономического развития </w:t>
      </w:r>
      <w:r>
        <w:rPr>
          <w:rFonts w:ascii="Times New Roman" w:hAnsi="Times New Roman"/>
          <w:color w:val="000000"/>
          <w:sz w:val="24"/>
          <w:szCs w:val="24"/>
        </w:rPr>
        <w:t>Паш</w:t>
      </w:r>
      <w:r w:rsidRPr="00CF251D">
        <w:rPr>
          <w:rFonts w:ascii="Times New Roman" w:hAnsi="Times New Roman"/>
          <w:color w:val="000000"/>
          <w:sz w:val="24"/>
          <w:szCs w:val="24"/>
        </w:rPr>
        <w:t>озерского сельского поселения на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F251D">
        <w:rPr>
          <w:rFonts w:ascii="Times New Roman" w:hAnsi="Times New Roman"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CF251D">
        <w:rPr>
          <w:rFonts w:ascii="Times New Roman" w:hAnsi="Times New Roman"/>
          <w:color w:val="000000"/>
          <w:sz w:val="24"/>
          <w:szCs w:val="24"/>
        </w:rPr>
        <w:t>и 202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F251D">
        <w:rPr>
          <w:rFonts w:ascii="Times New Roman" w:hAnsi="Times New Roman"/>
          <w:color w:val="000000"/>
          <w:sz w:val="24"/>
          <w:szCs w:val="24"/>
        </w:rPr>
        <w:t xml:space="preserve"> годов (приложение).</w:t>
      </w:r>
    </w:p>
    <w:p w14:paraId="2340AC25" w14:textId="1F0B3BA6" w:rsidR="004E0B76" w:rsidRPr="00CF251D" w:rsidRDefault="004E0B76" w:rsidP="004E0B76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51D">
        <w:rPr>
          <w:rFonts w:ascii="Times New Roman" w:hAnsi="Times New Roman"/>
          <w:color w:val="000000"/>
          <w:sz w:val="24"/>
          <w:szCs w:val="24"/>
        </w:rPr>
        <w:t xml:space="preserve">2. Прогноз социально-экономического развития </w:t>
      </w:r>
      <w:r>
        <w:rPr>
          <w:rFonts w:ascii="Times New Roman" w:hAnsi="Times New Roman"/>
          <w:color w:val="000000"/>
          <w:sz w:val="24"/>
          <w:szCs w:val="24"/>
        </w:rPr>
        <w:t>Паш</w:t>
      </w:r>
      <w:r w:rsidRPr="00CF251D">
        <w:rPr>
          <w:rFonts w:ascii="Times New Roman" w:hAnsi="Times New Roman"/>
          <w:color w:val="000000"/>
          <w:sz w:val="24"/>
          <w:szCs w:val="24"/>
        </w:rPr>
        <w:t>озерского сельского поселения на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CF251D">
        <w:rPr>
          <w:rFonts w:ascii="Times New Roman" w:hAnsi="Times New Roman"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F251D">
        <w:rPr>
          <w:rFonts w:ascii="Times New Roman" w:hAnsi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CF251D">
        <w:rPr>
          <w:rFonts w:ascii="Times New Roman" w:hAnsi="Times New Roman"/>
          <w:color w:val="000000"/>
          <w:sz w:val="24"/>
          <w:szCs w:val="24"/>
        </w:rPr>
        <w:t xml:space="preserve"> годов обнародовать путем размещения в сети Интернет </w:t>
      </w:r>
      <w:r w:rsidRPr="00CF251D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>Паш</w:t>
      </w:r>
      <w:r w:rsidRPr="00CF251D">
        <w:rPr>
          <w:rFonts w:ascii="Times New Roman" w:hAnsi="Times New Roman"/>
          <w:sz w:val="24"/>
          <w:szCs w:val="24"/>
        </w:rPr>
        <w:t>озерского сельского поселения</w:t>
      </w:r>
      <w:r w:rsidRPr="00CF251D">
        <w:rPr>
          <w:rFonts w:ascii="Times New Roman" w:hAnsi="Times New Roman"/>
          <w:color w:val="000000"/>
          <w:sz w:val="24"/>
          <w:szCs w:val="24"/>
        </w:rPr>
        <w:t>.</w:t>
      </w:r>
    </w:p>
    <w:p w14:paraId="0318CC3B" w14:textId="77777777" w:rsidR="004E0B76" w:rsidRPr="00CF251D" w:rsidRDefault="004E0B76" w:rsidP="004E0B76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51D">
        <w:rPr>
          <w:rFonts w:ascii="Times New Roman" w:hAnsi="Times New Roman"/>
          <w:color w:val="000000"/>
          <w:sz w:val="24"/>
          <w:szCs w:val="24"/>
        </w:rPr>
        <w:t>3. Контроль за исполнением постановления оставляю за собой.</w:t>
      </w:r>
    </w:p>
    <w:p w14:paraId="5E4FF584" w14:textId="77777777" w:rsidR="00695DDD" w:rsidRDefault="00695DD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AB779" w14:textId="77777777" w:rsidR="00695DDD" w:rsidRDefault="00695DD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D3551" w14:textId="77777777" w:rsidR="00D20269" w:rsidRDefault="00D20269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BC9AB" w14:textId="77777777" w:rsidR="00D20269" w:rsidRDefault="00D20269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8370E6" w14:textId="77777777" w:rsidR="00D20269" w:rsidRDefault="00D20269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D73BA" w14:textId="77777777" w:rsidR="00695DDD" w:rsidRDefault="00695DD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53F97" w14:textId="77777777" w:rsidR="000A1DAF" w:rsidRDefault="00695DDD" w:rsidP="000A1D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0350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</w:t>
      </w:r>
    </w:p>
    <w:p w14:paraId="2EC0BA7A" w14:textId="0E9F7BA7" w:rsidR="00695DDD" w:rsidRDefault="000A1DAF" w:rsidP="00E036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Вихров В.В.</w:t>
      </w:r>
    </w:p>
    <w:p w14:paraId="3C7373C6" w14:textId="77777777" w:rsidR="004E0B76" w:rsidRDefault="004E0B76" w:rsidP="00E036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45A376" w14:textId="77777777" w:rsidR="004E0B76" w:rsidRDefault="004E0B76" w:rsidP="00E036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3C6DC2F" w14:textId="77777777" w:rsidR="004E0B76" w:rsidRDefault="004E0B76" w:rsidP="00E036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35455B6" w14:textId="77777777" w:rsidR="004E0B76" w:rsidRDefault="004E0B76" w:rsidP="00E036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7E94D97" w14:textId="77777777" w:rsidR="004E0B76" w:rsidRDefault="004E0B76" w:rsidP="00E036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294C0AD" w14:textId="77777777" w:rsidR="004E0B76" w:rsidRDefault="004E0B76" w:rsidP="00E036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89DD573" w14:textId="77777777" w:rsidR="004E0B76" w:rsidRDefault="004E0B76" w:rsidP="00E036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44B9B50" w14:textId="77777777" w:rsidR="004E0B76" w:rsidRDefault="004E0B76" w:rsidP="00E036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E3CC19B" w14:textId="77777777" w:rsidR="004E0B76" w:rsidRDefault="004E0B76" w:rsidP="00E036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D3603DC" w14:textId="77777777" w:rsidR="004E0B76" w:rsidRDefault="004E0B76" w:rsidP="00E036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409F74B" w14:textId="77777777" w:rsidR="004E0B76" w:rsidRDefault="004E0B76" w:rsidP="00E036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BF187E8" w14:textId="77777777" w:rsidR="004E0B76" w:rsidRDefault="004E0B76" w:rsidP="00E036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74DD9DE" w14:textId="3FFE4FE9" w:rsidR="004E0B76" w:rsidRDefault="004E0B76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E13A5B0" w14:textId="77777777" w:rsidR="004E0B76" w:rsidRPr="00B028A7" w:rsidRDefault="004E0B76" w:rsidP="004E0B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30B43B31" w14:textId="77777777" w:rsidR="004E0B76" w:rsidRDefault="004E0B76" w:rsidP="004E0B76">
      <w:pPr>
        <w:jc w:val="right"/>
        <w:rPr>
          <w:rFonts w:ascii="Times New Roman" w:hAnsi="Times New Roman"/>
          <w:sz w:val="24"/>
          <w:szCs w:val="24"/>
        </w:rPr>
      </w:pPr>
      <w:r w:rsidRPr="00B028A7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4C7936" w14:textId="6F47A1E6" w:rsidR="004E0B76" w:rsidRDefault="004E0B76" w:rsidP="004E0B7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Пашозерского сельского поселения</w:t>
      </w:r>
      <w:r>
        <w:rPr>
          <w:rFonts w:ascii="Times New Roman" w:hAnsi="Times New Roman"/>
          <w:sz w:val="24"/>
          <w:szCs w:val="24"/>
        </w:rPr>
        <w:br/>
      </w:r>
      <w:r w:rsidRPr="00FD04AD">
        <w:rPr>
          <w:rFonts w:ascii="Times New Roman" w:hAnsi="Times New Roman"/>
          <w:sz w:val="24"/>
          <w:szCs w:val="24"/>
        </w:rPr>
        <w:t>от 14 ноября 2024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4A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08-145</w:t>
      </w:r>
      <w:r w:rsidRPr="00FD04AD">
        <w:rPr>
          <w:rFonts w:ascii="Times New Roman" w:hAnsi="Times New Roman"/>
          <w:sz w:val="24"/>
          <w:szCs w:val="24"/>
        </w:rPr>
        <w:t>-а</w:t>
      </w:r>
    </w:p>
    <w:p w14:paraId="0B75C474" w14:textId="77777777" w:rsidR="004E0B76" w:rsidRDefault="004E0B76" w:rsidP="00E036A0">
      <w:pPr>
        <w:rPr>
          <w:rFonts w:ascii="Times New Roman" w:hAnsi="Times New Roman" w:cs="Times New Roman"/>
          <w:sz w:val="20"/>
          <w:szCs w:val="20"/>
        </w:rPr>
      </w:pPr>
    </w:p>
    <w:p w14:paraId="4F1ADC80" w14:textId="590E54FC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E0B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Прогноз</w:t>
      </w:r>
    </w:p>
    <w:p w14:paraId="5489EEF1" w14:textId="77777777" w:rsidR="004E0B76" w:rsidRPr="004E0B76" w:rsidRDefault="004E0B76" w:rsidP="004E0B76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E0B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социально-экономического развития</w:t>
      </w:r>
    </w:p>
    <w:p w14:paraId="4AA08897" w14:textId="77777777" w:rsidR="004E0B76" w:rsidRPr="004E0B76" w:rsidRDefault="004E0B76" w:rsidP="004E0B76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E0B76">
        <w:rPr>
          <w:rFonts w:ascii="Times New Roman" w:eastAsia="Calibri" w:hAnsi="Times New Roman" w:cs="Times New Roman"/>
          <w:b/>
          <w:sz w:val="24"/>
          <w:szCs w:val="24"/>
        </w:rPr>
        <w:t>Пашозерского сельского поселения</w:t>
      </w:r>
    </w:p>
    <w:p w14:paraId="0BA4D80F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14:paraId="4E016AB3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73829" w14:textId="77777777" w:rsidR="004E0B76" w:rsidRPr="004E0B76" w:rsidRDefault="004E0B76" w:rsidP="004E0B76">
      <w:pPr>
        <w:keepNext/>
        <w:widowControl/>
        <w:shd w:val="clear" w:color="auto" w:fill="FFFFFF"/>
        <w:autoSpaceDE/>
        <w:autoSpaceDN/>
        <w:adjustRightInd/>
        <w:ind w:right="-1"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smartTag w:uri="urn:schemas-microsoft-com:office:smarttags" w:element="place">
        <w:r w:rsidRPr="004E0B76"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4E0B76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Pr="004E0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B76">
        <w:rPr>
          <w:rFonts w:ascii="Times New Roman" w:hAnsi="Times New Roman" w:cs="Times New Roman"/>
          <w:b/>
          <w:iCs/>
          <w:sz w:val="24"/>
          <w:szCs w:val="24"/>
        </w:rPr>
        <w:t xml:space="preserve">Пояснительная записка </w:t>
      </w:r>
    </w:p>
    <w:p w14:paraId="3DE23C49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B76">
        <w:rPr>
          <w:rFonts w:ascii="Times New Roman" w:hAnsi="Times New Roman" w:cs="Times New Roman"/>
          <w:b/>
          <w:sz w:val="24"/>
          <w:szCs w:val="24"/>
        </w:rPr>
        <w:t>по основным параметрам прогноза социально-экономического развития</w:t>
      </w:r>
    </w:p>
    <w:p w14:paraId="2B2F899F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B76">
        <w:rPr>
          <w:rFonts w:ascii="Times New Roman" w:hAnsi="Times New Roman" w:cs="Times New Roman"/>
          <w:b/>
          <w:bCs/>
          <w:sz w:val="24"/>
          <w:szCs w:val="24"/>
        </w:rPr>
        <w:t>Пашозерского сельского поселения</w:t>
      </w:r>
    </w:p>
    <w:p w14:paraId="59BF6F14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14:paraId="201535B3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B9C8ED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B76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показатели</w:t>
      </w:r>
    </w:p>
    <w:p w14:paraId="3A5E0F14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B76">
        <w:rPr>
          <w:rFonts w:ascii="Times New Roman" w:hAnsi="Times New Roman" w:cs="Times New Roman"/>
          <w:b/>
          <w:bCs/>
          <w:sz w:val="24"/>
          <w:szCs w:val="24"/>
        </w:rPr>
        <w:t>прогноза социально-экономического развития</w:t>
      </w:r>
      <w:r w:rsidRPr="004E0B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754A15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B7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Пашозерское сельское поселение</w:t>
      </w:r>
    </w:p>
    <w:p w14:paraId="3FA7DCF9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B76">
        <w:rPr>
          <w:rFonts w:ascii="Times New Roman" w:hAnsi="Times New Roman" w:cs="Times New Roman"/>
          <w:b/>
          <w:bCs/>
          <w:sz w:val="24"/>
          <w:szCs w:val="24"/>
        </w:rPr>
        <w:t>на 2025 год (очередной финансовый год)</w:t>
      </w:r>
      <w:r w:rsidRPr="004E0B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D51207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B76">
        <w:rPr>
          <w:rFonts w:ascii="Times New Roman" w:hAnsi="Times New Roman" w:cs="Times New Roman"/>
          <w:b/>
          <w:bCs/>
          <w:sz w:val="24"/>
          <w:szCs w:val="24"/>
        </w:rPr>
        <w:t>и плановый период 2026 - 2027 годов</w:t>
      </w:r>
      <w:r w:rsidRPr="004E0B7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A215AA6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1"/>
        <w:gridCol w:w="1134"/>
        <w:gridCol w:w="1134"/>
        <w:gridCol w:w="1134"/>
        <w:gridCol w:w="1134"/>
        <w:gridCol w:w="1134"/>
        <w:gridCol w:w="1134"/>
      </w:tblGrid>
      <w:tr w:rsidR="004E0B76" w:rsidRPr="004E0B76" w14:paraId="5D1C422C" w14:textId="77777777" w:rsidTr="00A43FAE">
        <w:trPr>
          <w:trHeight w:val="366"/>
        </w:trPr>
        <w:tc>
          <w:tcPr>
            <w:tcW w:w="30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9F96C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14:paraId="41682F8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B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показателя</w:t>
            </w: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4F422C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  <w:p w14:paraId="34E7639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E396C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Отчет</w:t>
            </w: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1B453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23B971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Оценка</w:t>
            </w: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21139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82C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</w:t>
            </w: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0B76" w:rsidRPr="004E0B76" w14:paraId="5B89C2B8" w14:textId="77777777" w:rsidTr="00A43FAE">
        <w:trPr>
          <w:trHeight w:val="271"/>
        </w:trPr>
        <w:tc>
          <w:tcPr>
            <w:tcW w:w="30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7F4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ADB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881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A37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F6E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AF0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280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0B76" w:rsidRPr="004E0B76" w14:paraId="03F25D3C" w14:textId="77777777" w:rsidTr="00A43FAE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FF8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Численность населения</w:t>
            </w: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 xml:space="preserve"> на 1 января текущего 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EE4F" w14:textId="77777777" w:rsidR="004E0B76" w:rsidRPr="004E0B76" w:rsidRDefault="004E0B76" w:rsidP="004E0B76">
            <w:pPr>
              <w:widowControl/>
              <w:autoSpaceDE/>
              <w:autoSpaceDN/>
              <w:adjustRightInd/>
              <w:ind w:left="38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32F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785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5B1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CDF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F29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4E0B76" w:rsidRPr="004E0B76" w14:paraId="0F9B5D08" w14:textId="77777777" w:rsidTr="00A43FAE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855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зарегистрированной безработицы </w:t>
            </w:r>
          </w:p>
          <w:p w14:paraId="16DC0DF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73A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ACF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CE7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3E0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CFD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48A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</w:tr>
      <w:tr w:rsidR="004E0B76" w:rsidRPr="004E0B76" w14:paraId="76CF0DDB" w14:textId="77777777" w:rsidTr="00A43FAE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A30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Отгружено товаров собственного производства, выполнено работ и услуг собственными силами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C99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5AD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64268,0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870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1BD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2B5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AF2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</w:tr>
      <w:tr w:rsidR="004E0B76" w:rsidRPr="004E0B76" w14:paraId="280736A3" w14:textId="77777777" w:rsidTr="00A43FAE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8E9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Введено в действие жилых домов на территории ТР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C61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Кв. метров общей площади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4F2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25E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7C4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0D8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F9E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4E0B76" w:rsidRPr="004E0B76" w14:paraId="18B4BF4C" w14:textId="77777777" w:rsidTr="00A43FAE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E0A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Инвестиции в основной капитал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836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535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5398,0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28E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4E6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BF5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E76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76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</w:tbl>
    <w:p w14:paraId="691B8386" w14:textId="77777777" w:rsidR="004E0B76" w:rsidRPr="004E0B76" w:rsidRDefault="004E0B76" w:rsidP="004E0B76">
      <w:pPr>
        <w:widowControl/>
        <w:autoSpaceDE/>
        <w:autoSpaceDN/>
        <w:adjustRightInd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19F5E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b/>
          <w:bCs/>
          <w:sz w:val="24"/>
          <w:szCs w:val="24"/>
        </w:rPr>
        <w:t>Общая оценка социально-экономической ситуации</w:t>
      </w:r>
      <w:r w:rsidRPr="004E0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BC45E" w14:textId="77777777" w:rsidR="004E0B76" w:rsidRPr="004E0B76" w:rsidRDefault="004E0B76" w:rsidP="004E0B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b/>
          <w:bCs/>
          <w:sz w:val="24"/>
          <w:szCs w:val="24"/>
        </w:rPr>
        <w:t>в Пашозерском сельском поселении за отчетный период (2023 год)</w:t>
      </w:r>
    </w:p>
    <w:p w14:paraId="22C94795" w14:textId="77777777" w:rsidR="004E0B76" w:rsidRPr="004E0B76" w:rsidRDefault="004E0B76" w:rsidP="004E0B76">
      <w:pPr>
        <w:widowControl/>
        <w:autoSpaceDE/>
        <w:autoSpaceDN/>
        <w:adjustRightInd/>
        <w:ind w:left="720" w:hanging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CBD54E" w14:textId="77777777" w:rsidR="004E0B76" w:rsidRPr="004E0B76" w:rsidRDefault="004E0B76" w:rsidP="004E0B76">
      <w:pPr>
        <w:widowControl/>
        <w:autoSpaceDE/>
        <w:autoSpaceDN/>
        <w:adjustRightInd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0B76">
        <w:rPr>
          <w:rFonts w:ascii="Times New Roman" w:hAnsi="Times New Roman" w:cs="Times New Roman"/>
          <w:b/>
          <w:bCs/>
          <w:sz w:val="24"/>
          <w:szCs w:val="24"/>
          <w:u w:val="single"/>
        </w:rPr>
        <w:t>Население</w:t>
      </w:r>
    </w:p>
    <w:p w14:paraId="0CC2D154" w14:textId="528EE26D" w:rsidR="004E0B76" w:rsidRPr="004E0B76" w:rsidRDefault="004E0B76" w:rsidP="004E0B7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28E53BA3" w14:textId="4E913F3F" w:rsidR="004E0B76" w:rsidRPr="004E0B76" w:rsidRDefault="004E0B76" w:rsidP="004E0B76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>Численность населения Пашозерского сельского поселения, с учетом итогов ВПН-2021, составила на 01.01.2023 г. 460 человек, фактически (по регистрации) – 530 человек. Число родившихся составляет 2 человека, умерших – 9 человек. Коэффициент естественной убыли составляет 23,9%. Миграционный прирост составил 9 человек (коэффициент миграционного прироста 19,5%).</w:t>
      </w:r>
    </w:p>
    <w:p w14:paraId="7D2DB7EC" w14:textId="6930E60D" w:rsidR="004E0B76" w:rsidRPr="004E0B76" w:rsidRDefault="004E0B76" w:rsidP="004E0B76">
      <w:pPr>
        <w:widowControl/>
        <w:tabs>
          <w:tab w:val="left" w:pos="390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>По предварительной оценке, численность поселения на 01.01.2024 года составит 461 человек или 94.7% к уровню 2023 года. Сокращение численности населения муниципального образования в 2024 году, по-прежнему, будет обусловлено естественной убылью населения, который составит в 2024 году 19,5 человека на 1000 населения.  В 2024 году наблюдается понижение уровня смертности; количество умерших 9 человек, что на 5 человек меньше, чем за 2023год. Показатель рождаемости на 1000 чел. населения составил 4,6 человека. Миграционный прирост населения за 2024 год составит - 6 человек.</w:t>
      </w:r>
    </w:p>
    <w:p w14:paraId="5DF5E586" w14:textId="775E7D93" w:rsidR="004E0B76" w:rsidRPr="004E0B76" w:rsidRDefault="004E0B76" w:rsidP="004E0B76">
      <w:pPr>
        <w:widowControl/>
        <w:tabs>
          <w:tab w:val="left" w:pos="390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lastRenderedPageBreak/>
        <w:t>В 2025 - 2026 гг. в поселении прогнозируется развитие демографической ситуации под влиянием сложившихся тенденций рождаемости, смертности и миграции. Сокращение численности населения по-прежнему будет обусловлено старением населения и его естественной убылью.  Численность населения Пашозерского сельского поселения к концу 2026 года может снизиться на 30 человек и составить 424 человек с учетом результатов ВПН 2021 года. Миграционный процесс прогнозируется на положительном уровне 10 человек в год.</w:t>
      </w:r>
    </w:p>
    <w:p w14:paraId="3D732B35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064D6ED1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B76">
        <w:rPr>
          <w:rFonts w:ascii="Times New Roman" w:hAnsi="Times New Roman" w:cs="Times New Roman"/>
          <w:b/>
          <w:sz w:val="24"/>
          <w:szCs w:val="24"/>
          <w:u w:val="single"/>
        </w:rPr>
        <w:t>Сельское хозяйство</w:t>
      </w:r>
    </w:p>
    <w:p w14:paraId="63A1043E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2CA0D5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ab/>
        <w:t xml:space="preserve">На территории поселения производственную деятельность ведут: </w:t>
      </w:r>
    </w:p>
    <w:p w14:paraId="5222CAD8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 xml:space="preserve">-  рыбоводческое хозяйство – ООО «Лапландия», которое выращивает посадочный материал рыб. Состоит из трех участков, бригады расположены в деревнях Пашозеро, Лукино и </w:t>
      </w:r>
      <w:proofErr w:type="spellStart"/>
      <w:r w:rsidRPr="004E0B76">
        <w:rPr>
          <w:rFonts w:ascii="Times New Roman" w:hAnsi="Times New Roman" w:cs="Times New Roman"/>
          <w:sz w:val="24"/>
          <w:szCs w:val="24"/>
        </w:rPr>
        <w:t>Харагеничи</w:t>
      </w:r>
      <w:proofErr w:type="spellEnd"/>
      <w:r w:rsidRPr="004E0B76">
        <w:rPr>
          <w:rFonts w:ascii="Times New Roman" w:hAnsi="Times New Roman" w:cs="Times New Roman"/>
          <w:sz w:val="24"/>
          <w:szCs w:val="24"/>
        </w:rPr>
        <w:t>. На предприятии трудоустроены 20 местных жителя. Выручка от продажи товаров, продукции, работ, услуг (за минусом налога на добавленную стоимость, акцизов и иных аналогичных обязательных платежей) по данным бухгалтерской отчетности составила 69800,0 тыс. руб.</w:t>
      </w:r>
    </w:p>
    <w:p w14:paraId="1BCC948A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 xml:space="preserve">           Основные ожидания положительных результатов развития сельскохозяйственного производства связаны с расширением рыбного хозяйства ООО «Лапландия», развитием   крестьянских (фермерских) хозяйств и личных подсобных хозяйств. Специализация крестьянских (фермерских) хозяйств и личных подсобных хозяйств – молочное животноводство, птицеводство, картофелеводство, ягодные культуры.            </w:t>
      </w:r>
    </w:p>
    <w:p w14:paraId="126B4455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 xml:space="preserve">           Для поддержки малых форм хозяйствования, гражданам, ведущим личное подсобное хозяйство, крестьянским (фермерским) хозяйствам Правительством выделяются субсидии на возмещение части затрат по приобретению комбикорма на содержание сельскохозяйственных животных и птицы.</w:t>
      </w:r>
    </w:p>
    <w:p w14:paraId="38292E52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1EE2D788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0B76">
        <w:rPr>
          <w:rFonts w:ascii="Times New Roman" w:hAnsi="Times New Roman" w:cs="Times New Roman"/>
          <w:b/>
          <w:sz w:val="24"/>
          <w:szCs w:val="24"/>
          <w:u w:val="single"/>
        </w:rPr>
        <w:t>Потребительский рынок</w:t>
      </w:r>
    </w:p>
    <w:p w14:paraId="7F734AC7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08B459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 xml:space="preserve">           В 2023 году на территории поселения осуществляли торговлю продуктами и промышленными товарами два магазина общей площадью 60 квадратных метров. Имеется также в </w:t>
      </w:r>
      <w:proofErr w:type="spellStart"/>
      <w:r w:rsidRPr="004E0B76">
        <w:rPr>
          <w:rFonts w:ascii="Times New Roman" w:hAnsi="Times New Roman" w:cs="Times New Roman"/>
          <w:sz w:val="24"/>
          <w:szCs w:val="24"/>
        </w:rPr>
        <w:t>Пашозерской</w:t>
      </w:r>
      <w:proofErr w:type="spellEnd"/>
      <w:r w:rsidRPr="004E0B76">
        <w:rPr>
          <w:rFonts w:ascii="Times New Roman" w:hAnsi="Times New Roman" w:cs="Times New Roman"/>
          <w:sz w:val="24"/>
          <w:szCs w:val="24"/>
        </w:rPr>
        <w:t xml:space="preserve"> ООШ школьная столовая (площадь 38 квадратных метров) на двадцать посадочных мест.</w:t>
      </w:r>
      <w:r w:rsidRPr="004E0B76">
        <w:rPr>
          <w:rFonts w:ascii="Times New Roman" w:hAnsi="Times New Roman" w:cs="Times New Roman"/>
          <w:i/>
          <w:sz w:val="24"/>
          <w:szCs w:val="24"/>
        </w:rPr>
        <w:tab/>
      </w:r>
    </w:p>
    <w:p w14:paraId="39FB7E25" w14:textId="77777777" w:rsidR="004E0B76" w:rsidRPr="004E0B76" w:rsidRDefault="004E0B76" w:rsidP="004E0B76">
      <w:pPr>
        <w:widowControl/>
        <w:suppressAutoHyphens/>
        <w:autoSpaceDE/>
        <w:autoSpaceDN/>
        <w:adjustRightInd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 xml:space="preserve">            В отдалённых населённых пунктах Лукино, </w:t>
      </w:r>
      <w:proofErr w:type="spellStart"/>
      <w:r w:rsidRPr="004E0B76">
        <w:rPr>
          <w:rFonts w:ascii="Times New Roman" w:hAnsi="Times New Roman" w:cs="Times New Roman"/>
          <w:sz w:val="24"/>
          <w:szCs w:val="24"/>
        </w:rPr>
        <w:t>Чога</w:t>
      </w:r>
      <w:proofErr w:type="spellEnd"/>
      <w:r w:rsidRPr="004E0B76">
        <w:rPr>
          <w:rFonts w:ascii="Times New Roman" w:hAnsi="Times New Roman" w:cs="Times New Roman"/>
          <w:sz w:val="24"/>
          <w:szCs w:val="24"/>
        </w:rPr>
        <w:t xml:space="preserve">, Кузнецова Гора, </w:t>
      </w:r>
      <w:proofErr w:type="spellStart"/>
      <w:r w:rsidRPr="004E0B76">
        <w:rPr>
          <w:rFonts w:ascii="Times New Roman" w:hAnsi="Times New Roman" w:cs="Times New Roman"/>
          <w:sz w:val="24"/>
          <w:szCs w:val="24"/>
        </w:rPr>
        <w:t>Бирючово</w:t>
      </w:r>
      <w:proofErr w:type="spellEnd"/>
      <w:r w:rsidRPr="004E0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B76">
        <w:rPr>
          <w:rFonts w:ascii="Times New Roman" w:hAnsi="Times New Roman" w:cs="Times New Roman"/>
          <w:sz w:val="24"/>
          <w:szCs w:val="24"/>
        </w:rPr>
        <w:t>Стрелково</w:t>
      </w:r>
      <w:proofErr w:type="spellEnd"/>
      <w:r w:rsidRPr="004E0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B76">
        <w:rPr>
          <w:rFonts w:ascii="Times New Roman" w:hAnsi="Times New Roman" w:cs="Times New Roman"/>
          <w:sz w:val="24"/>
          <w:szCs w:val="24"/>
        </w:rPr>
        <w:t>Харагеничи</w:t>
      </w:r>
      <w:proofErr w:type="spellEnd"/>
      <w:r w:rsidRPr="004E0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B76">
        <w:rPr>
          <w:rFonts w:ascii="Times New Roman" w:hAnsi="Times New Roman" w:cs="Times New Roman"/>
          <w:sz w:val="24"/>
          <w:szCs w:val="24"/>
        </w:rPr>
        <w:t>Корбеничи</w:t>
      </w:r>
      <w:proofErr w:type="spellEnd"/>
      <w:r w:rsidRPr="004E0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B76">
        <w:rPr>
          <w:rFonts w:ascii="Times New Roman" w:hAnsi="Times New Roman" w:cs="Times New Roman"/>
          <w:sz w:val="24"/>
          <w:szCs w:val="24"/>
        </w:rPr>
        <w:t>Озровичи</w:t>
      </w:r>
      <w:proofErr w:type="spellEnd"/>
      <w:r w:rsidRPr="004E0B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0B76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4E0B76">
        <w:rPr>
          <w:rFonts w:ascii="Times New Roman" w:hAnsi="Times New Roman" w:cs="Times New Roman"/>
          <w:sz w:val="24"/>
          <w:szCs w:val="24"/>
        </w:rPr>
        <w:t>-Капша, где отсутствуют магазины, осуществляется выездная торговля товарами первой необходимости.</w:t>
      </w:r>
      <w:r w:rsidRPr="004E0B76">
        <w:rPr>
          <w:rFonts w:ascii="Times New Roman" w:hAnsi="Times New Roman" w:cs="Times New Roman"/>
          <w:sz w:val="24"/>
          <w:szCs w:val="24"/>
        </w:rPr>
        <w:tab/>
      </w:r>
    </w:p>
    <w:p w14:paraId="002313AF" w14:textId="77777777" w:rsidR="004E0B76" w:rsidRPr="004E0B76" w:rsidRDefault="004E0B76" w:rsidP="004E0B7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B6C390" w14:textId="77777777" w:rsidR="004E0B76" w:rsidRPr="004E0B76" w:rsidRDefault="004E0B76" w:rsidP="004E0B7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B76">
        <w:rPr>
          <w:rFonts w:ascii="Times New Roman" w:hAnsi="Times New Roman" w:cs="Times New Roman"/>
          <w:b/>
          <w:sz w:val="24"/>
          <w:szCs w:val="24"/>
          <w:u w:val="single"/>
        </w:rPr>
        <w:t>Инвестиции, развитие территории</w:t>
      </w:r>
    </w:p>
    <w:p w14:paraId="6A7964D8" w14:textId="77777777" w:rsidR="004E0B76" w:rsidRPr="004E0B76" w:rsidRDefault="004E0B76" w:rsidP="004E0B7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1EB285" w14:textId="367021F3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ab/>
        <w:t>В соответствии с  законом Ленинградской области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области",   в рамках программы «Создание условий для эффективного выполнения органами местного самоуправления своих полномочий»  государственной программы Ленинградской области «Устойчивое общественное развитие в Ленинградской области»,  планом мероприятий по реализации муниципальной программы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 в 2023  году  выполнены следующие  мероприятия:</w:t>
      </w:r>
    </w:p>
    <w:p w14:paraId="0AB3826B" w14:textId="77777777" w:rsidR="004E0B76" w:rsidRPr="004E0B76" w:rsidRDefault="004E0B76" w:rsidP="004E0B76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 xml:space="preserve"> - ремонт участков автомобильной дороги местного значения д. Кончик пер. Речной от дома №</w:t>
      </w:r>
      <w:proofErr w:type="gramStart"/>
      <w:r w:rsidRPr="004E0B76">
        <w:rPr>
          <w:rFonts w:ascii="Times New Roman" w:hAnsi="Times New Roman" w:cs="Times New Roman"/>
          <w:sz w:val="24"/>
          <w:szCs w:val="24"/>
        </w:rPr>
        <w:t>1  до</w:t>
      </w:r>
      <w:proofErr w:type="gramEnd"/>
      <w:r w:rsidRPr="004E0B76">
        <w:rPr>
          <w:rFonts w:ascii="Times New Roman" w:hAnsi="Times New Roman" w:cs="Times New Roman"/>
          <w:sz w:val="24"/>
          <w:szCs w:val="24"/>
        </w:rPr>
        <w:t xml:space="preserve"> дома №5  на сумму  1080542 руб. </w:t>
      </w:r>
    </w:p>
    <w:p w14:paraId="239EFE24" w14:textId="77777777" w:rsidR="004E0B76" w:rsidRPr="004E0B76" w:rsidRDefault="004E0B76" w:rsidP="004E0B76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 xml:space="preserve">В соответствии с  законом Ленинградской области </w:t>
      </w:r>
      <w:r w:rsidRPr="004E0B76">
        <w:rPr>
          <w:rFonts w:ascii="Times New Roman" w:hAnsi="Times New Roman" w:cs="Times New Roman"/>
          <w:bCs/>
          <w:sz w:val="24"/>
          <w:szCs w:val="24"/>
        </w:rPr>
        <w:t>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4E0B76">
        <w:rPr>
          <w:rFonts w:ascii="Times New Roman" w:hAnsi="Times New Roman" w:cs="Times New Roman"/>
          <w:sz w:val="24"/>
          <w:szCs w:val="24"/>
        </w:rPr>
        <w:t xml:space="preserve">, в рамках программы «Создание условий для эффективного выполнения органами </w:t>
      </w:r>
      <w:r w:rsidRPr="004E0B76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своих полномочий»  государственной программы Ленинградской области «Устойчивое общественное развитие в Ленинградской области»,  планом мероприятий по реализации муниципальной программы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 в 2023 году выполнены следующие мероприятия:</w:t>
      </w:r>
    </w:p>
    <w:p w14:paraId="2588788E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 xml:space="preserve">      -    обустройство спортивной площадки в д. Пашозеро, Городской </w:t>
      </w:r>
      <w:proofErr w:type="spellStart"/>
      <w:r w:rsidRPr="004E0B7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4E0B76">
        <w:rPr>
          <w:rFonts w:ascii="Times New Roman" w:hAnsi="Times New Roman" w:cs="Times New Roman"/>
          <w:sz w:val="24"/>
          <w:szCs w:val="24"/>
        </w:rPr>
        <w:t xml:space="preserve">., на сумму </w:t>
      </w:r>
      <w:proofErr w:type="gramStart"/>
      <w:r w:rsidRPr="004E0B76">
        <w:rPr>
          <w:rFonts w:ascii="Times New Roman" w:hAnsi="Times New Roman" w:cs="Times New Roman"/>
          <w:sz w:val="24"/>
          <w:szCs w:val="24"/>
        </w:rPr>
        <w:t>1190225  руб.</w:t>
      </w:r>
      <w:proofErr w:type="gramEnd"/>
    </w:p>
    <w:p w14:paraId="7F85B261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E0B76">
        <w:rPr>
          <w:rFonts w:ascii="Times New Roman" w:hAnsi="Times New Roman" w:cs="Times New Roman"/>
          <w:sz w:val="24"/>
          <w:szCs w:val="24"/>
        </w:rPr>
        <w:t>Общий объем инвестиций в основной капитал за 2023 год составил 3562,0 тыс. рублей</w:t>
      </w:r>
    </w:p>
    <w:p w14:paraId="4719286D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0BABC" w14:textId="77777777" w:rsidR="004E0B76" w:rsidRPr="004E0B76" w:rsidRDefault="004E0B76" w:rsidP="004E0B76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 xml:space="preserve">В сфере ЖКХ в течение 2025 - 2027 гг. будет продолжаться капитальный ремонт объектов ЖКХ. В соответствии с планом реализации мероприятий по обеспечению устойчивого функционирования объектов теплоснабжения на территории Ленинградской области в рамках   подпрограммы "Энергетика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области",  планом мероприятий по реализации муниципальной программы Пашозерского сельского поселения «Обеспечение устойчивого функционирования и развития коммунальной и инженерной инфраструктуры в Пашозерском сельском поселении»  в 2023 году </w:t>
      </w:r>
      <w:r w:rsidRPr="004E0B76">
        <w:rPr>
          <w:rFonts w:ascii="Times New Roman" w:hAnsi="Times New Roman" w:cs="Times New Roman"/>
          <w:sz w:val="28"/>
          <w:szCs w:val="20"/>
        </w:rPr>
        <w:t xml:space="preserve"> </w:t>
      </w:r>
      <w:r w:rsidRPr="004E0B76">
        <w:rPr>
          <w:rFonts w:ascii="Times New Roman" w:hAnsi="Times New Roman" w:cs="Times New Roman"/>
          <w:sz w:val="24"/>
          <w:szCs w:val="24"/>
        </w:rPr>
        <w:t>произведена замена котла в котельной д. Пашозеро  на сумму 1825684,91 рублей.</w:t>
      </w:r>
    </w:p>
    <w:p w14:paraId="07788FAC" w14:textId="77777777" w:rsidR="004E0B76" w:rsidRPr="004E0B76" w:rsidRDefault="004E0B76" w:rsidP="004E0B76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>В соответствии с законом Ленинградской области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запланированы следующие мероприятия:</w:t>
      </w:r>
    </w:p>
    <w:p w14:paraId="372C7700" w14:textId="77777777" w:rsidR="004E0B76" w:rsidRPr="004E0B76" w:rsidRDefault="004E0B76" w:rsidP="004E0B76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>- строительство площадок для крупногабаритного мусора.</w:t>
      </w:r>
    </w:p>
    <w:p w14:paraId="3FDE19B6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468D255F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 xml:space="preserve">           В соответствии с законом Ленинградской области </w:t>
      </w:r>
      <w:r w:rsidRPr="004E0B76">
        <w:rPr>
          <w:rFonts w:ascii="Times New Roman" w:hAnsi="Times New Roman" w:cs="Times New Roman"/>
          <w:bCs/>
          <w:sz w:val="24"/>
          <w:szCs w:val="24"/>
        </w:rPr>
        <w:t>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4E0B76">
        <w:rPr>
          <w:rFonts w:ascii="Times New Roman" w:hAnsi="Times New Roman" w:cs="Times New Roman"/>
          <w:sz w:val="24"/>
          <w:szCs w:val="24"/>
        </w:rPr>
        <w:t>, в рамках программы «Создание условий для эффективного выполнения органами местного самоуправления своих полномочий» запланированы следующие мероприятия:</w:t>
      </w:r>
    </w:p>
    <w:p w14:paraId="2FDF8794" w14:textId="77777777" w:rsidR="004E0B76" w:rsidRPr="004E0B76" w:rsidRDefault="004E0B76" w:rsidP="004E0B76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>- строительство площадок для крупногабаритного мусора.</w:t>
      </w:r>
    </w:p>
    <w:p w14:paraId="2D60F8FB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3C8235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B76">
        <w:rPr>
          <w:rFonts w:ascii="Times New Roman" w:hAnsi="Times New Roman" w:cs="Times New Roman"/>
          <w:b/>
          <w:sz w:val="24"/>
          <w:szCs w:val="24"/>
          <w:u w:val="single"/>
        </w:rPr>
        <w:t>Трудовые ресурсы, доходы, занятость</w:t>
      </w:r>
    </w:p>
    <w:p w14:paraId="385C20F8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ab/>
      </w:r>
    </w:p>
    <w:p w14:paraId="41698B5B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E0B76">
        <w:rPr>
          <w:rFonts w:ascii="Times New Roman" w:hAnsi="Times New Roman" w:cs="Times New Roman"/>
          <w:sz w:val="24"/>
          <w:szCs w:val="24"/>
        </w:rPr>
        <w:t xml:space="preserve">          Среднесписочная численность работников организаций составила в 2023 г. 24,4 человека.  Количество зарегистрированных безработных - 3 человека.</w:t>
      </w:r>
      <w:r w:rsidRPr="004E0B76">
        <w:rPr>
          <w:rFonts w:ascii="Times New Roman" w:hAnsi="Times New Roman" w:cs="Times New Roman"/>
          <w:sz w:val="28"/>
          <w:szCs w:val="20"/>
        </w:rPr>
        <w:t xml:space="preserve"> </w:t>
      </w:r>
      <w:r w:rsidRPr="004E0B76">
        <w:rPr>
          <w:rFonts w:ascii="Times New Roman" w:hAnsi="Times New Roman" w:cs="Times New Roman"/>
          <w:sz w:val="24"/>
          <w:szCs w:val="24"/>
        </w:rPr>
        <w:t xml:space="preserve">Среднемесячная номинальная начисленная заработная плата в целом по муниципальному образованию составила за 2023 год – 41177,00 рублей. В 2025-2027 годах среднесписочная численность работников организаций планируется без изменений. Рост среднемесячной номинальной заработной платы в 2025- 2027 годах ожидается в размере 101,2%. </w:t>
      </w:r>
    </w:p>
    <w:p w14:paraId="091403EB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70A63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B76">
        <w:rPr>
          <w:rFonts w:ascii="Times New Roman" w:hAnsi="Times New Roman" w:cs="Times New Roman"/>
          <w:b/>
          <w:sz w:val="24"/>
          <w:szCs w:val="24"/>
          <w:u w:val="single"/>
        </w:rPr>
        <w:t>Строительство</w:t>
      </w:r>
    </w:p>
    <w:p w14:paraId="3D8664C3" w14:textId="77777777" w:rsidR="004E0B76" w:rsidRPr="004E0B76" w:rsidRDefault="004E0B76" w:rsidP="004E0B7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45CC9" w14:textId="77777777" w:rsidR="004E0B76" w:rsidRPr="004E0B76" w:rsidRDefault="004E0B76" w:rsidP="004E0B76">
      <w:pPr>
        <w:suppressAutoHyphens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0B76">
        <w:rPr>
          <w:rFonts w:ascii="Times New Roman" w:eastAsia="Calibri" w:hAnsi="Times New Roman" w:cs="Times New Roman"/>
          <w:color w:val="000000"/>
          <w:sz w:val="24"/>
          <w:szCs w:val="24"/>
        </w:rPr>
        <w:t>Ввод в действие жилых домов за 1 полугодие 2023 года составил 6,8тыс. кв. метров общей (полезной) площади. Ожидается, что объем введенного жилья в целом по году в пределах 7 тыс. кв. метров.</w:t>
      </w:r>
    </w:p>
    <w:p w14:paraId="58F883F4" w14:textId="77777777" w:rsidR="004E0B76" w:rsidRPr="004E0B76" w:rsidRDefault="004E0B76" w:rsidP="004E0B76">
      <w:pPr>
        <w:suppressAutoHyphens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0B76">
        <w:rPr>
          <w:rFonts w:ascii="Times New Roman" w:eastAsia="Calibri" w:hAnsi="Times New Roman" w:cs="Times New Roman"/>
          <w:color w:val="000000"/>
          <w:sz w:val="24"/>
          <w:szCs w:val="24"/>
        </w:rPr>
        <w:t>Объемы вводимого жилья в 2025 - 2027 гг. также не будут значительными и сохранятся на уровне 2023 года. Ввод жилых домов прогнозируется за счет продолжения индивидуального жилищного строительства.</w:t>
      </w:r>
    </w:p>
    <w:p w14:paraId="50EB07EC" w14:textId="77777777" w:rsidR="004E0B76" w:rsidRPr="004E0B76" w:rsidRDefault="004E0B76" w:rsidP="004E0B76">
      <w:pPr>
        <w:widowControl/>
        <w:suppressAutoHyphens/>
        <w:autoSpaceDE/>
        <w:autoSpaceDN/>
        <w:adjustRightInd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BD23B" w14:textId="77777777" w:rsidR="004E0B76" w:rsidRPr="004E0B76" w:rsidRDefault="004E0B76" w:rsidP="004E0B76">
      <w:pPr>
        <w:widowControl/>
        <w:autoSpaceDE/>
        <w:autoSpaceDN/>
        <w:adjustRightInd/>
        <w:ind w:left="720" w:hanging="720"/>
        <w:jc w:val="center"/>
        <w:rPr>
          <w:rFonts w:ascii="Times New Roman" w:hAnsi="Times New Roman" w:cs="Times New Roman"/>
          <w:b/>
          <w:sz w:val="20"/>
          <w:szCs w:val="20"/>
        </w:rPr>
        <w:sectPr w:rsidR="004E0B76" w:rsidRPr="004E0B76" w:rsidSect="004E0B76">
          <w:pgSz w:w="11907" w:h="16840"/>
          <w:pgMar w:top="851" w:right="851" w:bottom="851" w:left="1134" w:header="720" w:footer="720" w:gutter="0"/>
          <w:cols w:space="720"/>
          <w:docGrid w:linePitch="381"/>
        </w:sectPr>
      </w:pPr>
    </w:p>
    <w:p w14:paraId="6BDD180B" w14:textId="77777777" w:rsidR="004E0B76" w:rsidRPr="004E0B76" w:rsidRDefault="004E0B76" w:rsidP="004E0B76">
      <w:pPr>
        <w:widowControl/>
        <w:autoSpaceDE/>
        <w:autoSpaceDN/>
        <w:adjustRightInd/>
        <w:ind w:left="720" w:hanging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B7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II. Основные показатели прогноза социально-экономического развития </w:t>
      </w:r>
    </w:p>
    <w:p w14:paraId="1BF04C71" w14:textId="77777777" w:rsidR="004E0B76" w:rsidRPr="004E0B76" w:rsidRDefault="004E0B76" w:rsidP="004E0B76">
      <w:pPr>
        <w:widowControl/>
        <w:autoSpaceDE/>
        <w:autoSpaceDN/>
        <w:adjustRightInd/>
        <w:ind w:left="720" w:hanging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B76">
        <w:rPr>
          <w:rFonts w:ascii="Times New Roman" w:hAnsi="Times New Roman" w:cs="Times New Roman"/>
          <w:b/>
          <w:sz w:val="20"/>
          <w:szCs w:val="20"/>
        </w:rPr>
        <w:t>муниципального образования Ленинградской области</w:t>
      </w:r>
    </w:p>
    <w:p w14:paraId="6CB15AFF" w14:textId="77777777" w:rsidR="004E0B76" w:rsidRPr="004E0B76" w:rsidRDefault="004E0B76" w:rsidP="004E0B76">
      <w:pPr>
        <w:widowControl/>
        <w:autoSpaceDE/>
        <w:autoSpaceDN/>
        <w:adjustRightInd/>
        <w:ind w:left="720" w:hanging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B76">
        <w:rPr>
          <w:rFonts w:ascii="Times New Roman" w:hAnsi="Times New Roman" w:cs="Times New Roman"/>
          <w:b/>
          <w:sz w:val="20"/>
          <w:szCs w:val="20"/>
        </w:rPr>
        <w:t>Тихвинского городского поселения</w:t>
      </w:r>
    </w:p>
    <w:p w14:paraId="6AFCE192" w14:textId="77777777" w:rsidR="004E0B76" w:rsidRPr="004E0B76" w:rsidRDefault="004E0B76" w:rsidP="004E0B76">
      <w:pPr>
        <w:widowControl/>
        <w:autoSpaceDE/>
        <w:autoSpaceDN/>
        <w:adjustRightInd/>
        <w:ind w:left="720" w:hanging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667E7A" w14:textId="77777777" w:rsidR="004E0B76" w:rsidRPr="004E0B76" w:rsidRDefault="004E0B76" w:rsidP="004E0B76">
      <w:pPr>
        <w:widowControl/>
        <w:autoSpaceDE/>
        <w:autoSpaceDN/>
        <w:adjustRightInd/>
        <w:ind w:left="720" w:hanging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B76">
        <w:rPr>
          <w:rFonts w:ascii="Times New Roman" w:hAnsi="Times New Roman" w:cs="Times New Roman"/>
          <w:b/>
          <w:sz w:val="20"/>
          <w:szCs w:val="20"/>
        </w:rPr>
        <w:t xml:space="preserve">  на 2025 - 2027 гг.  </w:t>
      </w:r>
    </w:p>
    <w:p w14:paraId="310EB91B" w14:textId="77777777" w:rsidR="004E0B76" w:rsidRPr="004E0B76" w:rsidRDefault="004E0B76" w:rsidP="004E0B76">
      <w:pPr>
        <w:widowControl/>
        <w:autoSpaceDE/>
        <w:autoSpaceDN/>
        <w:adjustRightInd/>
        <w:ind w:left="720" w:hanging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20" w:type="dxa"/>
        <w:tblInd w:w="113" w:type="dxa"/>
        <w:tblLook w:val="04A0" w:firstRow="1" w:lastRow="0" w:firstColumn="1" w:lastColumn="0" w:noHBand="0" w:noVBand="1"/>
      </w:tblPr>
      <w:tblGrid>
        <w:gridCol w:w="940"/>
        <w:gridCol w:w="5420"/>
        <w:gridCol w:w="2080"/>
        <w:gridCol w:w="1320"/>
        <w:gridCol w:w="1580"/>
        <w:gridCol w:w="1360"/>
        <w:gridCol w:w="1300"/>
        <w:gridCol w:w="1520"/>
      </w:tblGrid>
      <w:tr w:rsidR="004E0B76" w:rsidRPr="004E0B76" w14:paraId="4F7BE856" w14:textId="77777777" w:rsidTr="00A43FAE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0FC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A6DBB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Наименование, раздела, показателя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855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FFE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BF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E98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4E0B76" w:rsidRPr="004E0B76" w14:paraId="046F7EDC" w14:textId="77777777" w:rsidTr="00A43FAE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497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CD88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AABA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96F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D3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2F1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F74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E63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0B76" w:rsidRPr="004E0B76" w14:paraId="6F535026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7E3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0B19D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9F43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B545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C924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694E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FA9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8692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0B76" w:rsidRPr="004E0B76" w14:paraId="1A394D79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BC1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A829D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(на 1 января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AD1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D59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0A2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633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4E3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58C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</w:tr>
      <w:tr w:rsidR="004E0B76" w:rsidRPr="004E0B76" w14:paraId="6699CBB4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D9C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5677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 городское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0A8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4A6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890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0CA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B86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5CE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0B76" w:rsidRPr="004E0B76" w14:paraId="75D8644B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A4D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79308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сельское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811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E11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F14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E45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B68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BD8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</w:tr>
      <w:tr w:rsidR="004E0B76" w:rsidRPr="004E0B76" w14:paraId="201554D2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C998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B2C8E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среднегодовая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333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2AC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3E6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F5A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604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AF2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512,0</w:t>
            </w:r>
          </w:p>
        </w:tc>
      </w:tr>
      <w:tr w:rsidR="004E0B76" w:rsidRPr="004E0B76" w14:paraId="323C9ED6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B41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17C60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родившихся (без учета мертворожденных)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3F6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F63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751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C60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FB5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21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E0B76" w:rsidRPr="004E0B76" w14:paraId="7F96317F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44D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E8C9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умерших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4A7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F90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D79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79D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758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04B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E0B76" w:rsidRPr="004E0B76" w14:paraId="1802156A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D9A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CF4DA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Естественный прирост </w:t>
            </w:r>
            <w:proofErr w:type="gramStart"/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-</w:t>
            </w:r>
            <w:proofErr w:type="gramEnd"/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26B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F3F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75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5A7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599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743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-13,0</w:t>
            </w:r>
          </w:p>
        </w:tc>
      </w:tr>
      <w:tr w:rsidR="004E0B76" w:rsidRPr="004E0B76" w14:paraId="1FB35F37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416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5C13E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прибывших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438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BAB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86B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407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C1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2C2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4E0B76" w:rsidRPr="004E0B76" w14:paraId="72D75BDE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828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4E5DD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убывших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212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D00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9E9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D3B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94B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D39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E0B76" w:rsidRPr="004E0B76" w14:paraId="559029EE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3D1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CB41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 (-убыль)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762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5B1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09B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1D1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38B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051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E0B76" w:rsidRPr="004E0B76" w14:paraId="1F6E0EE9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82D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9B48B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200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73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226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1C6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D56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EA8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4E0B76" w:rsidRPr="004E0B76" w14:paraId="42C00510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D56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D2183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83A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124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3CB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EE0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640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462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</w:tr>
      <w:tr w:rsidR="004E0B76" w:rsidRPr="004E0B76" w14:paraId="2420F7F6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130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AAFAB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естественного прироста (убыли)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F3B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569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F2D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181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A2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896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-31,4</w:t>
            </w:r>
          </w:p>
        </w:tc>
      </w:tr>
      <w:tr w:rsidR="004E0B76" w:rsidRPr="004E0B76" w14:paraId="3D82B9DC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584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899AC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3B5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787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C94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2E7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89F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2F5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</w:tr>
      <w:tr w:rsidR="004E0B76" w:rsidRPr="004E0B76" w14:paraId="11ED9689" w14:textId="77777777" w:rsidTr="00A43FA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F3E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91B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</w:t>
            </w:r>
          </w:p>
        </w:tc>
      </w:tr>
      <w:tr w:rsidR="004E0B76" w:rsidRPr="004E0B76" w14:paraId="09D00A96" w14:textId="77777777" w:rsidTr="00A43FAE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C24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8F47E9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Продукция сельского хозяйства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F1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FA5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69 328,0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AFC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580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221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8C4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</w:t>
            </w:r>
          </w:p>
        </w:tc>
      </w:tr>
      <w:tr w:rsidR="004E0B76" w:rsidRPr="004E0B76" w14:paraId="551EE220" w14:textId="77777777" w:rsidTr="00A43FAE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D5F7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7246B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05D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1BB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0D8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F00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340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A5F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0B76" w:rsidRPr="004E0B76" w14:paraId="67AD5A0B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C6F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E7CF8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1961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4534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A0C1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BCD2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7A51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277A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0B76" w:rsidRPr="004E0B76" w14:paraId="6F10C0DE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595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38C43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A84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8E0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5B1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46B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E85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1F7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E0B76" w:rsidRPr="004E0B76" w14:paraId="4F1E0A79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095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7692F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FF6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B9C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2EE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60C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C51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63B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0B76" w:rsidRPr="004E0B76" w14:paraId="12A4E377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A25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5C4E4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496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метров общей площади на 1 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CCF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87C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C2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FA9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477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4E0B76" w:rsidRPr="004E0B76" w14:paraId="4BE82BE4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1A2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346C6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F665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39B6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DDB9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DD8B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0773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741D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0B76" w:rsidRPr="004E0B76" w14:paraId="00B473C7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9BE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B63F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488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70D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3BE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00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E40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DF2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4E0B76" w:rsidRPr="004E0B76" w14:paraId="7CA56F2C" w14:textId="77777777" w:rsidTr="00A43FAE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A562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74312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046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08E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75F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40D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65D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667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0B76" w:rsidRPr="004E0B76" w14:paraId="0970D243" w14:textId="77777777" w:rsidTr="00A43FAE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6D9C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E8031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8ED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EE4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2D6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75C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D64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0CC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0B76" w:rsidRPr="004E0B76" w14:paraId="2758ED8D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0F0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FA22F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Потребительский рынок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B279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BE25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8ABF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C497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8A6E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72EE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0B76" w:rsidRPr="004E0B76" w14:paraId="716E9317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E12F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95D6C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E91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6CD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814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3C2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054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5AF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E0B76" w:rsidRPr="004E0B76" w14:paraId="4DD9064E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DCB1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54DBB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DBF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900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B7A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02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1F3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54D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E0B76" w:rsidRPr="004E0B76" w14:paraId="2620F680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3CEA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BC138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86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F96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091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345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7D1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F89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E0B76" w:rsidRPr="004E0B76" w14:paraId="328A6635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5C1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21B00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7729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4785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9B40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A93C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4B78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3148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E0B76" w:rsidRPr="004E0B76" w14:paraId="5F6963E9" w14:textId="77777777" w:rsidTr="00A43FAE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7FCAF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98F7D4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8B6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19D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3 562,0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8AB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913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5CD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D78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</w:tr>
      <w:tr w:rsidR="004E0B76" w:rsidRPr="004E0B76" w14:paraId="72044808" w14:textId="77777777" w:rsidTr="00A43FAE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ACF43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E3394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805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7A8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5C5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961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402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264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0B76" w:rsidRPr="004E0B76" w14:paraId="604AFB9D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5DB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4AE77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труда и занятость населения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FBC6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AE2E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C69F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862D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199B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1E10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0B76" w:rsidRPr="004E0B76" w14:paraId="46ECC883" w14:textId="77777777" w:rsidTr="00A43FAE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B1E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5B56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AE1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470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D61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4EE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DB3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C5D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4E0B76" w:rsidRPr="004E0B76" w14:paraId="10A849C8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34E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AC681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F4C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3DBF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997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E75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BE6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98C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E0B76" w:rsidRPr="004E0B76" w14:paraId="7294EFD2" w14:textId="77777777" w:rsidTr="00A43FAE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487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EAECE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вакансий, заявленных предприятиями, </w:t>
            </w:r>
            <w:proofErr w:type="gramStart"/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центры</w:t>
            </w:r>
            <w:proofErr w:type="gramEnd"/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занятости населения 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DE9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B305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BD3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16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E4A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A62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E0B76" w:rsidRPr="004E0B76" w14:paraId="612158CF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13A5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7B036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DF9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3A6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9B7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35D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69F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11A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4E0B76" w:rsidRPr="004E0B76" w14:paraId="05CBAABA" w14:textId="77777777" w:rsidTr="00A43FAE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8E3E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CD610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EAE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21A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975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552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42F0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D5B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43 000,0</w:t>
            </w:r>
          </w:p>
        </w:tc>
      </w:tr>
      <w:tr w:rsidR="004E0B76" w:rsidRPr="004E0B76" w14:paraId="4C3FB341" w14:textId="77777777" w:rsidTr="00A43FAE">
        <w:trPr>
          <w:trHeight w:val="57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46CF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579B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981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BE4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B96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D8E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791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841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4E0B76" w:rsidRPr="004E0B76" w14:paraId="4FF9BE70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CA33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F9189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12F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00D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2F0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906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CB7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340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4E0B76" w:rsidRPr="004E0B76" w14:paraId="0B231277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B1B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EA4CF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6A6C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872D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B04D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437A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806E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BF06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0B76" w:rsidRPr="004E0B76" w14:paraId="6B953140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051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752F7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обеспеченности (на конец года):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95E3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FC3A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4A50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A1AD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2FAF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0B24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0B76" w:rsidRPr="004E0B76" w14:paraId="5E0FC900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67E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1C1EF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9F6C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DA51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3009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A017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6E19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098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4E0B76" w:rsidRPr="004E0B76" w14:paraId="18BC9BCD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E4F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3652C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учреждениями культурно-досугового типа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D29B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3E6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B9A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F541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ADBB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AD22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4E0B76" w:rsidRPr="004E0B76" w14:paraId="652EFF39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D07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6C8D5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3734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детей в возрасте </w:t>
            </w:r>
            <w:r w:rsidRPr="004E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1-6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A48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726F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F7E1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6264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85D4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4E0B76" w:rsidRPr="004E0B76" w14:paraId="3F5DD0B6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221C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VII</w:t>
            </w:r>
            <w:r w:rsidRPr="004E0B7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66A4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9B8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6684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C3F2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F3AD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3AF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D6AF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B76" w:rsidRPr="004E0B76" w14:paraId="785BFAD5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CB28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8D748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A58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5BA4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82344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DA9B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AC4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98C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76" w:rsidRPr="004E0B76" w14:paraId="2B54092C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2B6D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D1A8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F0DA7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sz w:val="24"/>
                <w:szCs w:val="24"/>
              </w:rPr>
              <w:t xml:space="preserve">% к предыдущему </w:t>
            </w:r>
            <w:proofErr w:type="gramStart"/>
            <w:r w:rsidRPr="004E0B76">
              <w:rPr>
                <w:rFonts w:ascii="Times New Roman" w:hAnsi="Times New Roman" w:cs="Times New Roman"/>
                <w:sz w:val="24"/>
                <w:szCs w:val="24"/>
              </w:rPr>
              <w:t>году  в</w:t>
            </w:r>
            <w:proofErr w:type="gramEnd"/>
            <w:r w:rsidRPr="004E0B76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B6F0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F0B3B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E916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CF462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8370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76" w:rsidRPr="004E0B76" w14:paraId="0F84B1F9" w14:textId="77777777" w:rsidTr="00A43FA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999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80C4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8E2E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76A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05C0D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83CD6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2969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D9B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0B76" w:rsidRPr="004E0B76" w14:paraId="40431771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604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F7FD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572F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A1B5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6B5B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4A4A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D69E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4E27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0B76" w:rsidRPr="004E0B76" w14:paraId="020EF797" w14:textId="77777777" w:rsidTr="00A43FA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2BC1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85ED" w14:textId="77777777" w:rsidR="004E0B76" w:rsidRPr="004E0B76" w:rsidRDefault="004E0B76" w:rsidP="004E0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7D6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F459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AD95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1043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99BC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680A" w14:textId="77777777" w:rsidR="004E0B76" w:rsidRPr="004E0B76" w:rsidRDefault="004E0B76" w:rsidP="004E0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33D18ED" w14:textId="77777777" w:rsidR="004E0B76" w:rsidRPr="004E0B76" w:rsidRDefault="004E0B76" w:rsidP="004E0B76">
      <w:pPr>
        <w:widowControl/>
        <w:autoSpaceDE/>
        <w:autoSpaceDN/>
        <w:adjustRightInd/>
        <w:ind w:left="720" w:hanging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B5EEB7" w14:textId="77777777" w:rsidR="004E0B76" w:rsidRDefault="004E0B76" w:rsidP="004E0B76">
      <w:pPr>
        <w:widowControl/>
        <w:autoSpaceDE/>
        <w:autoSpaceDN/>
        <w:adjustRightInd/>
        <w:ind w:left="720" w:hanging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E0B76" w:rsidSect="00D2026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F5A"/>
    <w:multiLevelType w:val="multilevel"/>
    <w:tmpl w:val="863A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2C6F0C"/>
    <w:multiLevelType w:val="hybridMultilevel"/>
    <w:tmpl w:val="736A2C0A"/>
    <w:lvl w:ilvl="0" w:tplc="CEB0A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5" w15:restartNumberingAfterBreak="0">
    <w:nsid w:val="6BF61AF4"/>
    <w:multiLevelType w:val="hybridMultilevel"/>
    <w:tmpl w:val="F574E4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2143920">
    <w:abstractNumId w:val="0"/>
  </w:num>
  <w:num w:numId="2" w16cid:durableId="989215830">
    <w:abstractNumId w:val="4"/>
  </w:num>
  <w:num w:numId="3" w16cid:durableId="1761024668">
    <w:abstractNumId w:val="3"/>
  </w:num>
  <w:num w:numId="4" w16cid:durableId="992221510">
    <w:abstractNumId w:val="2"/>
  </w:num>
  <w:num w:numId="5" w16cid:durableId="1792090516">
    <w:abstractNumId w:val="5"/>
  </w:num>
  <w:num w:numId="6" w16cid:durableId="819418466">
    <w:abstractNumId w:val="2"/>
    <w:lvlOverride w:ilvl="0">
      <w:startOverride w:val="1"/>
    </w:lvlOverride>
  </w:num>
  <w:num w:numId="7" w16cid:durableId="163656806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294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EB5"/>
    <w:rsid w:val="000A1DAF"/>
    <w:rsid w:val="001A7DA8"/>
    <w:rsid w:val="001F2EC3"/>
    <w:rsid w:val="002050E8"/>
    <w:rsid w:val="002A4053"/>
    <w:rsid w:val="002F4EB5"/>
    <w:rsid w:val="003254C6"/>
    <w:rsid w:val="00393461"/>
    <w:rsid w:val="004B03F2"/>
    <w:rsid w:val="004D039A"/>
    <w:rsid w:val="004E0B76"/>
    <w:rsid w:val="00546C1D"/>
    <w:rsid w:val="00595814"/>
    <w:rsid w:val="006259F5"/>
    <w:rsid w:val="006565A6"/>
    <w:rsid w:val="00695DDD"/>
    <w:rsid w:val="0072229C"/>
    <w:rsid w:val="00731373"/>
    <w:rsid w:val="007346CC"/>
    <w:rsid w:val="008303CD"/>
    <w:rsid w:val="0098230B"/>
    <w:rsid w:val="009F08A6"/>
    <w:rsid w:val="00A179EF"/>
    <w:rsid w:val="00A9543A"/>
    <w:rsid w:val="00AF26B1"/>
    <w:rsid w:val="00B66A14"/>
    <w:rsid w:val="00B841FB"/>
    <w:rsid w:val="00BD2ECF"/>
    <w:rsid w:val="00D20269"/>
    <w:rsid w:val="00D824A1"/>
    <w:rsid w:val="00DE3842"/>
    <w:rsid w:val="00E036A0"/>
    <w:rsid w:val="00F16482"/>
    <w:rsid w:val="00F75DA4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5B29153"/>
  <w15:docId w15:val="{6D24A49E-EE69-4EE4-BB14-78AB69EF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F7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E0B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E0B76"/>
    <w:pPr>
      <w:keepNext/>
      <w:widowControl/>
      <w:autoSpaceDE/>
      <w:autoSpaceDN/>
      <w:adjustRightInd/>
      <w:outlineLvl w:val="1"/>
    </w:pPr>
    <w:rPr>
      <w:rFonts w:ascii="Tahoma" w:hAnsi="Tahoma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4E0B76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0A1DAF"/>
    <w:pPr>
      <w:keepNext/>
      <w:widowControl/>
      <w:autoSpaceDE/>
      <w:autoSpaceDN/>
      <w:adjustRightInd/>
      <w:snapToGrid w:val="0"/>
      <w:jc w:val="center"/>
      <w:outlineLvl w:val="6"/>
    </w:pPr>
    <w:rPr>
      <w:rFonts w:ascii="Times New Roman" w:hAnsi="Times New Roman" w:cs="Times New Roman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7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F16482"/>
    <w:pPr>
      <w:ind w:left="720"/>
      <w:contextualSpacing/>
    </w:pPr>
  </w:style>
  <w:style w:type="paragraph" w:customStyle="1" w:styleId="formattext">
    <w:name w:val="formattext"/>
    <w:basedOn w:val="a"/>
    <w:rsid w:val="00F16482"/>
    <w:pPr>
      <w:widowControl/>
      <w:autoSpaceDE/>
      <w:autoSpaceDN/>
      <w:adjustRightInd/>
      <w:spacing w:after="22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rsid w:val="000A1DA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0A1DAF"/>
    <w:pPr>
      <w:shd w:val="clear" w:color="auto" w:fill="FFFFFF"/>
      <w:autoSpaceDE/>
      <w:autoSpaceDN/>
      <w:adjustRightInd/>
      <w:spacing w:line="38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A1DAF"/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A1D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1DA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0A1DAF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paragraph" w:customStyle="1" w:styleId="ConsNonformat">
    <w:name w:val="ConsNonformat"/>
    <w:rsid w:val="000A1D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2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0B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ody Text Indent"/>
    <w:basedOn w:val="a"/>
    <w:link w:val="a7"/>
    <w:unhideWhenUsed/>
    <w:rsid w:val="004E0B7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E0B76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E0B76"/>
    <w:rPr>
      <w:rFonts w:ascii="Tahoma" w:eastAsia="Times New Roman" w:hAnsi="Tahom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0B7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2">
    <w:name w:val="Нет списка1"/>
    <w:next w:val="a2"/>
    <w:semiHidden/>
    <w:rsid w:val="004E0B76"/>
  </w:style>
  <w:style w:type="paragraph" w:customStyle="1" w:styleId="a8">
    <w:name w:val="Администрация"/>
    <w:rsid w:val="004E0B76"/>
    <w:pPr>
      <w:tabs>
        <w:tab w:val="left" w:pos="284"/>
      </w:tabs>
      <w:spacing w:after="0" w:line="360" w:lineRule="auto"/>
      <w:ind w:firstLine="709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9">
    <w:name w:val="постановление"/>
    <w:autoRedefine/>
    <w:rsid w:val="004E0B76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Document Map"/>
    <w:basedOn w:val="a"/>
    <w:link w:val="ab"/>
    <w:semiHidden/>
    <w:rsid w:val="004E0B76"/>
    <w:pPr>
      <w:widowControl/>
      <w:shd w:val="clear" w:color="auto" w:fill="000080"/>
      <w:autoSpaceDE/>
      <w:autoSpaceDN/>
      <w:adjustRightInd/>
      <w:jc w:val="both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4E0B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c">
    <w:basedOn w:val="a"/>
    <w:next w:val="ad"/>
    <w:link w:val="ae"/>
    <w:qFormat/>
    <w:rsid w:val="004E0B7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1">
    <w:name w:val="Body Text 2"/>
    <w:basedOn w:val="a"/>
    <w:link w:val="22"/>
    <w:rsid w:val="004E0B76"/>
    <w:pPr>
      <w:widowControl/>
      <w:autoSpaceDE/>
      <w:autoSpaceDN/>
      <w:adjustRightInd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E0B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4E0B76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4E0B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E0B76"/>
    <w:pPr>
      <w:autoSpaceDE/>
      <w:autoSpaceDN/>
      <w:adjustRightInd/>
      <w:spacing w:after="60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4E0B76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0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E0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E0B76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4E0B76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rsid w:val="004E0B76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Balloon Text"/>
    <w:basedOn w:val="a"/>
    <w:link w:val="af3"/>
    <w:semiHidden/>
    <w:rsid w:val="004E0B76"/>
    <w:pPr>
      <w:widowControl/>
      <w:autoSpaceDE/>
      <w:autoSpaceDN/>
      <w:adjustRightInd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4E0B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Название Знак"/>
    <w:link w:val="ac"/>
    <w:rsid w:val="004E0B76"/>
    <w:rPr>
      <w:sz w:val="28"/>
    </w:rPr>
  </w:style>
  <w:style w:type="character" w:customStyle="1" w:styleId="10pt">
    <w:name w:val="Основной текст + 10 pt"/>
    <w:aliases w:val="Полужирный"/>
    <w:rsid w:val="004E0B76"/>
    <w:rPr>
      <w:b/>
      <w:bCs/>
      <w:sz w:val="20"/>
      <w:szCs w:val="20"/>
      <w:lang w:bidi="ar-SA"/>
    </w:rPr>
  </w:style>
  <w:style w:type="paragraph" w:styleId="af4">
    <w:name w:val="header"/>
    <w:basedOn w:val="a"/>
    <w:link w:val="af5"/>
    <w:rsid w:val="004E0B76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4E0B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rsid w:val="004E0B76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0"/>
    <w:link w:val="af6"/>
    <w:rsid w:val="004E0B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8">
    <w:name w:val="Table Grid"/>
    <w:basedOn w:val="a1"/>
    <w:rsid w:val="004E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нак Знак5 Знак Знак"/>
    <w:basedOn w:val="a"/>
    <w:next w:val="2"/>
    <w:autoRedefine/>
    <w:rsid w:val="004E0B76"/>
    <w:pPr>
      <w:widowControl/>
      <w:autoSpaceDE/>
      <w:autoSpaceDN/>
      <w:adjustRightInd/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f9">
    <w:name w:val="No Spacing"/>
    <w:uiPriority w:val="1"/>
    <w:qFormat/>
    <w:rsid w:val="004E0B7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fa"/>
    <w:uiPriority w:val="10"/>
    <w:qFormat/>
    <w:rsid w:val="004E0B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d"/>
    <w:uiPriority w:val="10"/>
    <w:rsid w:val="004E0B7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77 77</dc:creator>
  <cp:lastModifiedBy>u</cp:lastModifiedBy>
  <cp:revision>4</cp:revision>
  <dcterms:created xsi:type="dcterms:W3CDTF">2024-11-20T06:07:00Z</dcterms:created>
  <dcterms:modified xsi:type="dcterms:W3CDTF">2024-11-27T05:57:00Z</dcterms:modified>
</cp:coreProperties>
</file>